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E3BF2" w14:textId="75C4F645" w:rsidR="00AD3C69" w:rsidRDefault="00B254F9" w:rsidP="3F5083B4">
      <w:pPr>
        <w:pStyle w:val="Default"/>
        <w:jc w:val="center"/>
        <w:rPr>
          <w:rFonts w:ascii="Aptos" w:hAnsi="Aptos"/>
          <w:b/>
          <w:bCs/>
          <w:sz w:val="32"/>
          <w:szCs w:val="32"/>
          <w:u w:val="single"/>
        </w:rPr>
      </w:pPr>
      <w:r w:rsidRPr="00BA776F">
        <w:rPr>
          <w:rFonts w:ascii="Aptos" w:hAnsi="Aptos"/>
          <w:b/>
          <w:bCs/>
          <w:sz w:val="32"/>
          <w:szCs w:val="32"/>
        </w:rPr>
        <w:drawing>
          <wp:inline distT="0" distB="0" distL="0" distR="0" wp14:anchorId="20289F04" wp14:editId="5169304C">
            <wp:extent cx="2428875" cy="685800"/>
            <wp:effectExtent l="0" t="0" r="9525" b="0"/>
            <wp:docPr id="104456531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CED866D" w14:textId="5B9DD2D8" w:rsidR="006030DB" w:rsidRDefault="00BA776F" w:rsidP="00AD3C69">
      <w:pPr>
        <w:pStyle w:val="Default"/>
        <w:jc w:val="center"/>
        <w:rPr>
          <w:rFonts w:ascii="Aptos" w:hAnsi="Aptos"/>
          <w:b/>
          <w:bCs/>
          <w:sz w:val="32"/>
          <w:szCs w:val="32"/>
        </w:rPr>
      </w:pPr>
      <w:r w:rsidRPr="00BA776F">
        <w:rPr>
          <w:rFonts w:ascii="Aptos" w:hAnsi="Aptos"/>
          <w:b/>
          <w:bCs/>
          <w:sz w:val="32"/>
          <w:szCs w:val="32"/>
          <w:u w:val="single"/>
        </w:rPr>
        <w:br/>
      </w:r>
      <w:r w:rsidR="006030DB">
        <w:rPr>
          <w:rFonts w:ascii="Aptos" w:hAnsi="Aptos"/>
          <w:b/>
          <w:bCs/>
          <w:sz w:val="32"/>
          <w:szCs w:val="32"/>
        </w:rPr>
        <w:t xml:space="preserve">HS1 Ltd - </w:t>
      </w:r>
      <w:r w:rsidR="008A3903" w:rsidRPr="00805660">
        <w:rPr>
          <w:rFonts w:ascii="Aptos" w:hAnsi="Aptos"/>
          <w:b/>
          <w:bCs/>
          <w:sz w:val="32"/>
          <w:szCs w:val="32"/>
        </w:rPr>
        <w:t xml:space="preserve">St Pancras Enhancement Project (STEP) </w:t>
      </w:r>
    </w:p>
    <w:p w14:paraId="3EAC1F3E" w14:textId="775D9A18" w:rsidR="008A3903" w:rsidRDefault="008A3903" w:rsidP="00AD3C69">
      <w:pPr>
        <w:pStyle w:val="Default"/>
        <w:jc w:val="center"/>
        <w:rPr>
          <w:rFonts w:ascii="Aptos" w:hAnsi="Aptos"/>
          <w:b/>
          <w:bCs/>
          <w:sz w:val="32"/>
          <w:szCs w:val="32"/>
        </w:rPr>
      </w:pPr>
      <w:r w:rsidRPr="00805660">
        <w:rPr>
          <w:rFonts w:ascii="Aptos" w:hAnsi="Aptos"/>
          <w:b/>
          <w:bCs/>
          <w:sz w:val="32"/>
          <w:szCs w:val="32"/>
        </w:rPr>
        <w:t xml:space="preserve">– RIBA2 Design and Operational Concept Feasibility Study </w:t>
      </w:r>
    </w:p>
    <w:p w14:paraId="1D103928" w14:textId="77777777" w:rsidR="00802367" w:rsidRDefault="00802367" w:rsidP="00AD3C69">
      <w:pPr>
        <w:pStyle w:val="Default"/>
        <w:jc w:val="center"/>
        <w:rPr>
          <w:rFonts w:ascii="Aptos" w:hAnsi="Aptos"/>
          <w:b/>
          <w:bCs/>
          <w:sz w:val="32"/>
          <w:szCs w:val="32"/>
        </w:rPr>
      </w:pPr>
    </w:p>
    <w:p w14:paraId="0D0A7FE6" w14:textId="77777777" w:rsidR="00802367" w:rsidRDefault="00802367" w:rsidP="00802367">
      <w:pPr>
        <w:pStyle w:val="Default"/>
        <w:keepNext/>
        <w:keepLines/>
        <w:jc w:val="center"/>
        <w:rPr>
          <w:rFonts w:ascii="Aptos" w:hAnsi="Aptos"/>
          <w:b/>
          <w:bCs/>
          <w:i/>
          <w:iCs/>
          <w:sz w:val="32"/>
          <w:szCs w:val="32"/>
        </w:rPr>
      </w:pPr>
      <w:r w:rsidRPr="3F5083B4">
        <w:rPr>
          <w:rFonts w:ascii="Aptos" w:hAnsi="Aptos"/>
          <w:b/>
          <w:bCs/>
          <w:i/>
          <w:iCs/>
          <w:sz w:val="32"/>
          <w:szCs w:val="32"/>
        </w:rPr>
        <w:t>HS1 Reference:  HS1/ENG/2024/198</w:t>
      </w:r>
    </w:p>
    <w:p w14:paraId="24F5476A" w14:textId="77777777" w:rsidR="008A3903" w:rsidRPr="00805660" w:rsidRDefault="008A3903" w:rsidP="00AD3C69">
      <w:pPr>
        <w:pStyle w:val="Default"/>
        <w:jc w:val="center"/>
        <w:rPr>
          <w:rFonts w:ascii="Aptos" w:hAnsi="Aptos"/>
          <w:b/>
          <w:bCs/>
          <w:sz w:val="32"/>
          <w:szCs w:val="32"/>
        </w:rPr>
      </w:pPr>
    </w:p>
    <w:p w14:paraId="02169919" w14:textId="1DB4952E" w:rsidR="00AD3C69" w:rsidRPr="00805660" w:rsidRDefault="233CEB02" w:rsidP="00AD3C69">
      <w:pPr>
        <w:pStyle w:val="Default"/>
        <w:jc w:val="center"/>
        <w:rPr>
          <w:rFonts w:ascii="Aptos" w:hAnsi="Aptos"/>
          <w:b/>
          <w:bCs/>
          <w:sz w:val="32"/>
          <w:szCs w:val="32"/>
        </w:rPr>
      </w:pPr>
      <w:r w:rsidRPr="3F5083B4">
        <w:rPr>
          <w:rFonts w:ascii="Aptos" w:hAnsi="Aptos"/>
          <w:b/>
          <w:bCs/>
          <w:sz w:val="32"/>
          <w:szCs w:val="32"/>
        </w:rPr>
        <w:t>P</w:t>
      </w:r>
      <w:r w:rsidR="006A730A">
        <w:rPr>
          <w:rFonts w:ascii="Aptos" w:hAnsi="Aptos"/>
          <w:b/>
          <w:bCs/>
          <w:sz w:val="32"/>
          <w:szCs w:val="32"/>
        </w:rPr>
        <w:t>RIOR INFORMATION NOTICE (PIN)</w:t>
      </w:r>
    </w:p>
    <w:p w14:paraId="03755451" w14:textId="77777777" w:rsidR="00AD3C69" w:rsidRPr="00805660" w:rsidRDefault="00AD3C69">
      <w:pPr>
        <w:pStyle w:val="Default"/>
        <w:jc w:val="center"/>
        <w:rPr>
          <w:rFonts w:ascii="Aptos" w:hAnsi="Aptos"/>
          <w:b/>
          <w:bCs/>
          <w:sz w:val="32"/>
          <w:szCs w:val="32"/>
        </w:rPr>
      </w:pPr>
    </w:p>
    <w:p w14:paraId="0F381D1D" w14:textId="19E0CD99" w:rsidR="00140327" w:rsidRPr="00805660" w:rsidRDefault="00140327" w:rsidP="009E7C15">
      <w:pPr>
        <w:pStyle w:val="Subtitle"/>
        <w:ind w:firstLine="357"/>
        <w:rPr>
          <w:rFonts w:ascii="Aptos" w:hAnsi="Aptos"/>
          <w:b/>
          <w:color w:val="auto"/>
          <w:sz w:val="24"/>
          <w:szCs w:val="24"/>
        </w:rPr>
      </w:pPr>
      <w:r w:rsidRPr="3F012BB7">
        <w:rPr>
          <w:rFonts w:ascii="Aptos" w:hAnsi="Aptos"/>
          <w:b/>
          <w:color w:val="auto"/>
          <w:sz w:val="24"/>
          <w:szCs w:val="24"/>
        </w:rPr>
        <w:t>Background Context</w:t>
      </w:r>
    </w:p>
    <w:p w14:paraId="01A4B010" w14:textId="01E29D46" w:rsidR="008A3903" w:rsidRPr="00805660" w:rsidRDefault="00140327" w:rsidP="3F5083B4">
      <w:pPr>
        <w:ind w:left="357"/>
        <w:jc w:val="both"/>
        <w:rPr>
          <w:rFonts w:ascii="Aptos" w:hAnsi="Aptos"/>
        </w:rPr>
      </w:pPr>
      <w:r w:rsidRPr="3F5083B4">
        <w:rPr>
          <w:rFonts w:ascii="Aptos" w:hAnsi="Aptos"/>
        </w:rPr>
        <w:t xml:space="preserve">HS1 Ltd has the 30-year concession to own, operate and maintain High Speed 1 (HS1), the UK’s only high-speed railway, as well as the stations along the route: St Pancras International, Stratford International, Ebbsfleet International and Ashford International. </w:t>
      </w:r>
    </w:p>
    <w:p w14:paraId="7056754B" w14:textId="48C7E4BE" w:rsidR="008A3903" w:rsidRPr="00805660" w:rsidRDefault="003B3D02" w:rsidP="3F5083B4">
      <w:pPr>
        <w:ind w:left="357"/>
        <w:jc w:val="both"/>
        <w:rPr>
          <w:rFonts w:ascii="Aptos" w:hAnsi="Aptos"/>
        </w:rPr>
      </w:pPr>
      <w:r w:rsidRPr="3F5083B4">
        <w:rPr>
          <w:rFonts w:ascii="Aptos" w:hAnsi="Aptos"/>
        </w:rPr>
        <w:t xml:space="preserve">International rail services are currently provided by Eurostar </w:t>
      </w:r>
      <w:r w:rsidR="00516C7F" w:rsidRPr="3F5083B4">
        <w:rPr>
          <w:rFonts w:ascii="Aptos" w:hAnsi="Aptos"/>
        </w:rPr>
        <w:t>who have expressed an aspiration to grow their passenger volumes from 19m today to 30m by 2030 across their network.</w:t>
      </w:r>
      <w:r w:rsidR="5E46071D" w:rsidRPr="3F5083B4">
        <w:rPr>
          <w:rFonts w:ascii="Aptos" w:hAnsi="Aptos"/>
        </w:rPr>
        <w:t xml:space="preserve"> </w:t>
      </w:r>
      <w:r w:rsidR="269DC9B0" w:rsidRPr="3F5083B4">
        <w:rPr>
          <w:rFonts w:ascii="Aptos" w:hAnsi="Aptos"/>
        </w:rPr>
        <w:t xml:space="preserve">To support these growth </w:t>
      </w:r>
      <w:r w:rsidR="6EC5144C" w:rsidRPr="3F5083B4">
        <w:rPr>
          <w:rFonts w:ascii="Aptos" w:hAnsi="Aptos"/>
        </w:rPr>
        <w:t>aspirations</w:t>
      </w:r>
      <w:r w:rsidR="269DC9B0" w:rsidRPr="3F5083B4">
        <w:rPr>
          <w:rFonts w:ascii="Aptos" w:hAnsi="Aptos"/>
        </w:rPr>
        <w:t xml:space="preserve">, </w:t>
      </w:r>
      <w:r w:rsidR="00516C7F" w:rsidRPr="3F5083B4">
        <w:rPr>
          <w:rFonts w:ascii="Aptos" w:hAnsi="Aptos"/>
        </w:rPr>
        <w:t>HS1</w:t>
      </w:r>
      <w:r w:rsidR="034761CB" w:rsidRPr="3F5083B4">
        <w:rPr>
          <w:rFonts w:ascii="Aptos" w:hAnsi="Aptos"/>
        </w:rPr>
        <w:t xml:space="preserve"> has commissioned </w:t>
      </w:r>
      <w:r w:rsidR="00516C7F" w:rsidRPr="3F5083B4">
        <w:rPr>
          <w:rFonts w:ascii="Aptos" w:hAnsi="Aptos"/>
        </w:rPr>
        <w:t>an initial feasibility study to explore a) the likely future passenger numbers that will need to be accommodated in the international part of St Pancras station and b) the required spatial and operational changes that will be necessary to unlock the required capacity.</w:t>
      </w:r>
    </w:p>
    <w:p w14:paraId="3A9C428A" w14:textId="0DEE18A0" w:rsidR="008508D7" w:rsidRPr="00805660" w:rsidRDefault="00D577B4" w:rsidP="3F5083B4">
      <w:pPr>
        <w:ind w:left="357"/>
        <w:jc w:val="both"/>
        <w:rPr>
          <w:rFonts w:ascii="Aptos" w:hAnsi="Aptos"/>
        </w:rPr>
      </w:pPr>
      <w:r w:rsidRPr="3F5083B4">
        <w:rPr>
          <w:rFonts w:ascii="Aptos" w:hAnsi="Aptos"/>
        </w:rPr>
        <w:t>This initial work has identified that expansion is feasible</w:t>
      </w:r>
      <w:r w:rsidR="3E9FBCE3" w:rsidRPr="3F5083B4">
        <w:rPr>
          <w:rFonts w:ascii="Aptos" w:hAnsi="Aptos"/>
        </w:rPr>
        <w:t xml:space="preserve">. </w:t>
      </w:r>
      <w:r w:rsidR="5C36C3EB" w:rsidRPr="3F5083B4">
        <w:rPr>
          <w:rFonts w:ascii="Aptos" w:hAnsi="Aptos"/>
        </w:rPr>
        <w:t>HS1 is now ready to progress to design and operational concept feasibility stage (RIBA2)</w:t>
      </w:r>
      <w:r w:rsidR="3E9FBCE3" w:rsidRPr="3F5083B4">
        <w:rPr>
          <w:rFonts w:ascii="Aptos" w:hAnsi="Aptos"/>
        </w:rPr>
        <w:t xml:space="preserve"> to</w:t>
      </w:r>
      <w:r w:rsidR="00AB2742" w:rsidRPr="3F5083B4">
        <w:rPr>
          <w:rFonts w:ascii="Aptos" w:hAnsi="Aptos"/>
        </w:rPr>
        <w:t xml:space="preserve"> design, deliver and operationalise a reconfigured ground floor operation of the International Zone </w:t>
      </w:r>
      <w:r w:rsidR="008508D7" w:rsidRPr="3F5083B4">
        <w:rPr>
          <w:rFonts w:ascii="Aptos" w:hAnsi="Aptos"/>
        </w:rPr>
        <w:t>delivering a significant uplift in passenger capacity that meets forecast requirements until at least 2035 and potentially 2040;</w:t>
      </w:r>
    </w:p>
    <w:p w14:paraId="486BE5CE" w14:textId="7BEAC892" w:rsidR="003E4849" w:rsidRPr="00805660" w:rsidRDefault="008C0087" w:rsidP="3F5083B4">
      <w:pPr>
        <w:pStyle w:val="Subtitle"/>
        <w:ind w:left="357"/>
        <w:jc w:val="both"/>
        <w:rPr>
          <w:rFonts w:ascii="Aptos" w:hAnsi="Aptos"/>
          <w:b/>
          <w:bCs/>
          <w:color w:val="auto"/>
          <w:sz w:val="24"/>
          <w:szCs w:val="24"/>
        </w:rPr>
      </w:pPr>
      <w:r w:rsidRPr="3F5083B4">
        <w:rPr>
          <w:rFonts w:ascii="Aptos" w:hAnsi="Aptos"/>
          <w:b/>
          <w:bCs/>
          <w:color w:val="auto"/>
          <w:sz w:val="24"/>
          <w:szCs w:val="24"/>
        </w:rPr>
        <w:t xml:space="preserve">Project </w:t>
      </w:r>
      <w:r w:rsidR="00AD270D" w:rsidRPr="3F5083B4">
        <w:rPr>
          <w:rFonts w:ascii="Aptos" w:hAnsi="Aptos"/>
          <w:b/>
          <w:bCs/>
          <w:color w:val="auto"/>
          <w:sz w:val="24"/>
          <w:szCs w:val="24"/>
        </w:rPr>
        <w:t>Requirement</w:t>
      </w:r>
      <w:r w:rsidR="00574AAD" w:rsidRPr="3F5083B4">
        <w:rPr>
          <w:rFonts w:ascii="Aptos" w:hAnsi="Aptos"/>
          <w:b/>
          <w:bCs/>
          <w:color w:val="auto"/>
          <w:sz w:val="24"/>
          <w:szCs w:val="24"/>
        </w:rPr>
        <w:t xml:space="preserve"> </w:t>
      </w:r>
    </w:p>
    <w:p w14:paraId="301518EC" w14:textId="21DE5CA9" w:rsidR="00AD270D" w:rsidRPr="00805660" w:rsidRDefault="002A4922" w:rsidP="00D04B5E">
      <w:pPr>
        <w:ind w:left="360"/>
        <w:jc w:val="both"/>
        <w:rPr>
          <w:rFonts w:ascii="Aptos" w:hAnsi="Aptos"/>
        </w:rPr>
      </w:pPr>
      <w:r w:rsidRPr="3F5083B4">
        <w:rPr>
          <w:rFonts w:ascii="Aptos" w:hAnsi="Aptos"/>
        </w:rPr>
        <w:t>The end output of Proj</w:t>
      </w:r>
      <w:r w:rsidR="625FAF7B" w:rsidRPr="3F5083B4">
        <w:rPr>
          <w:rFonts w:ascii="Aptos" w:hAnsi="Aptos"/>
        </w:rPr>
        <w:t xml:space="preserve">ect </w:t>
      </w:r>
      <w:r w:rsidRPr="3F5083B4">
        <w:rPr>
          <w:rFonts w:ascii="Aptos" w:hAnsi="Aptos"/>
        </w:rPr>
        <w:t>can be described as:</w:t>
      </w:r>
    </w:p>
    <w:p w14:paraId="65E3C6BA" w14:textId="363FF6B8" w:rsidR="00192B7F" w:rsidRPr="00805660" w:rsidRDefault="002A4922" w:rsidP="00D04B5E">
      <w:pPr>
        <w:pStyle w:val="ListParagraph"/>
        <w:numPr>
          <w:ilvl w:val="0"/>
          <w:numId w:val="13"/>
        </w:numPr>
        <w:jc w:val="both"/>
        <w:rPr>
          <w:rFonts w:ascii="Aptos" w:hAnsi="Aptos"/>
        </w:rPr>
      </w:pPr>
      <w:r w:rsidRPr="3F5083B4">
        <w:rPr>
          <w:rFonts w:ascii="Aptos" w:hAnsi="Aptos"/>
        </w:rPr>
        <w:t xml:space="preserve">An International Zone operation </w:t>
      </w:r>
      <w:r w:rsidR="001C3ECB" w:rsidRPr="3F5083B4">
        <w:rPr>
          <w:rFonts w:ascii="Aptos" w:hAnsi="Aptos"/>
        </w:rPr>
        <w:t xml:space="preserve">capable of handling and processing </w:t>
      </w:r>
      <w:r w:rsidR="00955AE2" w:rsidRPr="3F5083B4">
        <w:rPr>
          <w:rFonts w:ascii="Aptos" w:hAnsi="Aptos"/>
        </w:rPr>
        <w:t xml:space="preserve">up to </w:t>
      </w:r>
      <w:r w:rsidR="001C3ECB" w:rsidRPr="3F5083B4">
        <w:rPr>
          <w:rFonts w:ascii="Aptos" w:hAnsi="Aptos"/>
        </w:rPr>
        <w:t>5,000 passengers in a rolling 60-minute period</w:t>
      </w:r>
      <w:r w:rsidR="00A53D80" w:rsidRPr="3F5083B4">
        <w:rPr>
          <w:rFonts w:ascii="Aptos" w:hAnsi="Aptos"/>
        </w:rPr>
        <w:t xml:space="preserve"> and</w:t>
      </w:r>
      <w:r w:rsidR="00F230E5" w:rsidRPr="3F5083B4">
        <w:rPr>
          <w:rFonts w:ascii="Aptos" w:hAnsi="Aptos"/>
        </w:rPr>
        <w:t>;</w:t>
      </w:r>
      <w:r w:rsidR="00A53D80" w:rsidRPr="3F5083B4">
        <w:rPr>
          <w:rFonts w:ascii="Aptos" w:hAnsi="Aptos"/>
        </w:rPr>
        <w:t xml:space="preserve"> </w:t>
      </w:r>
    </w:p>
    <w:p w14:paraId="55068929" w14:textId="1ABE86D6" w:rsidR="00A53D80" w:rsidRPr="00805660" w:rsidRDefault="00192B7F" w:rsidP="00D04B5E">
      <w:pPr>
        <w:pStyle w:val="ListParagraph"/>
        <w:numPr>
          <w:ilvl w:val="0"/>
          <w:numId w:val="13"/>
        </w:numPr>
        <w:jc w:val="both"/>
        <w:rPr>
          <w:rFonts w:ascii="Aptos" w:hAnsi="Aptos"/>
        </w:rPr>
      </w:pPr>
      <w:r w:rsidRPr="00805660">
        <w:rPr>
          <w:rFonts w:ascii="Aptos" w:hAnsi="Aptos"/>
        </w:rPr>
        <w:t xml:space="preserve">An International Zone that has the appropriate facilities and operating model to accommodate </w:t>
      </w:r>
      <w:r w:rsidR="00A53D80" w:rsidRPr="00805660">
        <w:rPr>
          <w:rFonts w:ascii="Aptos" w:hAnsi="Aptos"/>
        </w:rPr>
        <w:t>at least one new international operator</w:t>
      </w:r>
      <w:r w:rsidR="00F230E5" w:rsidRPr="00805660">
        <w:rPr>
          <w:rFonts w:ascii="Aptos" w:hAnsi="Aptos"/>
        </w:rPr>
        <w:t>.</w:t>
      </w:r>
      <w:r w:rsidRPr="00805660">
        <w:rPr>
          <w:rFonts w:ascii="Aptos" w:hAnsi="Aptos"/>
        </w:rPr>
        <w:t xml:space="preserve"> </w:t>
      </w:r>
    </w:p>
    <w:p w14:paraId="3F3D242A" w14:textId="6F5ECB69" w:rsidR="00A53D80" w:rsidRPr="00805660" w:rsidRDefault="48008DFD" w:rsidP="00D04B5E">
      <w:pPr>
        <w:ind w:left="360"/>
        <w:jc w:val="both"/>
        <w:rPr>
          <w:rFonts w:ascii="Aptos" w:hAnsi="Aptos"/>
        </w:rPr>
      </w:pPr>
      <w:r w:rsidRPr="3F5083B4">
        <w:rPr>
          <w:rFonts w:ascii="Aptos" w:hAnsi="Aptos"/>
        </w:rPr>
        <w:t>In providing a RIBA2 design and operational concept that will achieve</w:t>
      </w:r>
      <w:r w:rsidR="412107CC" w:rsidRPr="3F5083B4">
        <w:rPr>
          <w:rFonts w:ascii="Aptos" w:hAnsi="Aptos"/>
        </w:rPr>
        <w:t xml:space="preserve"> this output</w:t>
      </w:r>
      <w:r w:rsidRPr="3F5083B4">
        <w:rPr>
          <w:rFonts w:ascii="Aptos" w:hAnsi="Aptos"/>
        </w:rPr>
        <w:t xml:space="preserve"> bidders are asked to</w:t>
      </w:r>
      <w:r w:rsidR="4F9C446E" w:rsidRPr="3F5083B4">
        <w:rPr>
          <w:rFonts w:ascii="Aptos" w:hAnsi="Aptos"/>
        </w:rPr>
        <w:t xml:space="preserve"> focus on</w:t>
      </w:r>
      <w:r w:rsidRPr="3F5083B4">
        <w:rPr>
          <w:rFonts w:ascii="Aptos" w:hAnsi="Aptos"/>
        </w:rPr>
        <w:t>:</w:t>
      </w:r>
    </w:p>
    <w:p w14:paraId="42CCE1DB" w14:textId="77777777" w:rsidR="00B2687D" w:rsidRPr="00805660" w:rsidRDefault="00F230E5" w:rsidP="00D04B5E">
      <w:pPr>
        <w:pStyle w:val="ListParagraph"/>
        <w:numPr>
          <w:ilvl w:val="0"/>
          <w:numId w:val="14"/>
        </w:numPr>
        <w:jc w:val="both"/>
        <w:rPr>
          <w:rFonts w:ascii="Aptos" w:hAnsi="Aptos"/>
        </w:rPr>
      </w:pPr>
      <w:r w:rsidRPr="3F5083B4">
        <w:rPr>
          <w:rFonts w:ascii="Aptos" w:hAnsi="Aptos"/>
        </w:rPr>
        <w:t xml:space="preserve">The spatial, architectural and other design </w:t>
      </w:r>
      <w:r w:rsidR="00F23D34" w:rsidRPr="3F5083B4">
        <w:rPr>
          <w:rFonts w:ascii="Aptos" w:hAnsi="Aptos"/>
        </w:rPr>
        <w:t>elements</w:t>
      </w:r>
      <w:r w:rsidR="00B2687D" w:rsidRPr="3F5083B4">
        <w:rPr>
          <w:rFonts w:ascii="Aptos" w:hAnsi="Aptos"/>
        </w:rPr>
        <w:t xml:space="preserve"> including:</w:t>
      </w:r>
    </w:p>
    <w:p w14:paraId="04718DC3" w14:textId="03AA2419" w:rsidR="00B2687D" w:rsidRPr="00805660" w:rsidRDefault="00F63FFC" w:rsidP="00D04B5E">
      <w:pPr>
        <w:pStyle w:val="ListParagraph"/>
        <w:numPr>
          <w:ilvl w:val="1"/>
          <w:numId w:val="14"/>
        </w:numPr>
        <w:jc w:val="both"/>
        <w:rPr>
          <w:rFonts w:ascii="Aptos" w:hAnsi="Aptos"/>
        </w:rPr>
      </w:pPr>
      <w:r w:rsidRPr="00805660">
        <w:rPr>
          <w:rFonts w:ascii="Aptos" w:hAnsi="Aptos"/>
        </w:rPr>
        <w:t>Overall capacity</w:t>
      </w:r>
      <w:r w:rsidR="00B2687D" w:rsidRPr="00805660">
        <w:rPr>
          <w:rFonts w:ascii="Aptos" w:hAnsi="Aptos"/>
        </w:rPr>
        <w:t xml:space="preserve"> provision</w:t>
      </w:r>
      <w:r w:rsidRPr="00805660">
        <w:rPr>
          <w:rFonts w:ascii="Aptos" w:hAnsi="Aptos"/>
        </w:rPr>
        <w:t>;</w:t>
      </w:r>
    </w:p>
    <w:p w14:paraId="6F4FBF9C" w14:textId="4613E0F6" w:rsidR="00B2687D" w:rsidRPr="00805660" w:rsidRDefault="00F63FFC" w:rsidP="00D04B5E">
      <w:pPr>
        <w:pStyle w:val="ListParagraph"/>
        <w:numPr>
          <w:ilvl w:val="1"/>
          <w:numId w:val="14"/>
        </w:numPr>
        <w:jc w:val="both"/>
        <w:rPr>
          <w:rFonts w:ascii="Aptos" w:hAnsi="Aptos"/>
        </w:rPr>
      </w:pPr>
      <w:r w:rsidRPr="00805660">
        <w:rPr>
          <w:rFonts w:ascii="Aptos" w:hAnsi="Aptos"/>
        </w:rPr>
        <w:t>Improved p</w:t>
      </w:r>
      <w:r w:rsidR="00B2687D" w:rsidRPr="00805660">
        <w:rPr>
          <w:rFonts w:ascii="Aptos" w:hAnsi="Aptos"/>
        </w:rPr>
        <w:t>assenger flows</w:t>
      </w:r>
      <w:r w:rsidRPr="00805660">
        <w:rPr>
          <w:rFonts w:ascii="Aptos" w:hAnsi="Aptos"/>
        </w:rPr>
        <w:t>;</w:t>
      </w:r>
    </w:p>
    <w:p w14:paraId="28EA7132" w14:textId="3AD8B86D" w:rsidR="00F63FFC" w:rsidRPr="00805660" w:rsidRDefault="0F1C9543" w:rsidP="00D04B5E">
      <w:pPr>
        <w:pStyle w:val="ListParagraph"/>
        <w:numPr>
          <w:ilvl w:val="1"/>
          <w:numId w:val="14"/>
        </w:numPr>
        <w:jc w:val="both"/>
        <w:rPr>
          <w:rFonts w:ascii="Aptos" w:hAnsi="Aptos"/>
        </w:rPr>
      </w:pPr>
      <w:r w:rsidRPr="3F5083B4">
        <w:rPr>
          <w:rFonts w:ascii="Aptos" w:hAnsi="Aptos"/>
        </w:rPr>
        <w:t>Access and egress;</w:t>
      </w:r>
    </w:p>
    <w:p w14:paraId="2677A027" w14:textId="674A631A" w:rsidR="677E8032" w:rsidRDefault="677E8032" w:rsidP="107B1B7A">
      <w:pPr>
        <w:pStyle w:val="ListParagraph"/>
        <w:numPr>
          <w:ilvl w:val="1"/>
          <w:numId w:val="14"/>
        </w:numPr>
        <w:jc w:val="both"/>
        <w:rPr>
          <w:rFonts w:ascii="Aptos" w:hAnsi="Aptos"/>
        </w:rPr>
      </w:pPr>
      <w:r w:rsidRPr="3F5083B4">
        <w:rPr>
          <w:rFonts w:ascii="Aptos" w:hAnsi="Aptos"/>
        </w:rPr>
        <w:t>Historic Building impact;</w:t>
      </w:r>
    </w:p>
    <w:p w14:paraId="530D6BBD" w14:textId="272809FC" w:rsidR="00F63FFC" w:rsidRPr="00805660" w:rsidRDefault="00F63FFC" w:rsidP="00D04B5E">
      <w:pPr>
        <w:pStyle w:val="ListParagraph"/>
        <w:numPr>
          <w:ilvl w:val="1"/>
          <w:numId w:val="14"/>
        </w:numPr>
        <w:jc w:val="both"/>
        <w:rPr>
          <w:rFonts w:ascii="Aptos" w:hAnsi="Aptos"/>
        </w:rPr>
      </w:pPr>
      <w:r w:rsidRPr="00805660">
        <w:rPr>
          <w:rFonts w:ascii="Aptos" w:hAnsi="Aptos"/>
        </w:rPr>
        <w:t>Fire and evacuation safety;</w:t>
      </w:r>
    </w:p>
    <w:p w14:paraId="0DDBE920" w14:textId="313787AF" w:rsidR="00F63FFC" w:rsidRPr="00805660" w:rsidRDefault="00F63FFC" w:rsidP="00D04B5E">
      <w:pPr>
        <w:pStyle w:val="ListParagraph"/>
        <w:numPr>
          <w:ilvl w:val="1"/>
          <w:numId w:val="14"/>
        </w:numPr>
        <w:jc w:val="both"/>
        <w:rPr>
          <w:rFonts w:ascii="Aptos" w:hAnsi="Aptos"/>
        </w:rPr>
      </w:pPr>
      <w:r w:rsidRPr="00805660">
        <w:rPr>
          <w:rFonts w:ascii="Aptos" w:hAnsi="Aptos"/>
        </w:rPr>
        <w:t>Station security design standards (SIDOS);</w:t>
      </w:r>
    </w:p>
    <w:p w14:paraId="384D1148" w14:textId="5587190C" w:rsidR="00F230E5" w:rsidRPr="00805660" w:rsidRDefault="00F63FFC" w:rsidP="00D04B5E">
      <w:pPr>
        <w:pStyle w:val="ListParagraph"/>
        <w:numPr>
          <w:ilvl w:val="1"/>
          <w:numId w:val="14"/>
        </w:numPr>
        <w:jc w:val="both"/>
        <w:rPr>
          <w:rFonts w:ascii="Aptos" w:hAnsi="Aptos"/>
        </w:rPr>
      </w:pPr>
      <w:r w:rsidRPr="3F5083B4">
        <w:rPr>
          <w:rFonts w:ascii="Aptos" w:hAnsi="Aptos"/>
        </w:rPr>
        <w:t>Maintenance</w:t>
      </w:r>
      <w:r w:rsidR="00F23D34" w:rsidRPr="3F5083B4">
        <w:rPr>
          <w:rFonts w:ascii="Aptos" w:hAnsi="Aptos"/>
        </w:rPr>
        <w:t>;</w:t>
      </w:r>
    </w:p>
    <w:p w14:paraId="721D8D76" w14:textId="77F83599" w:rsidR="00175534" w:rsidRPr="00805660" w:rsidRDefault="00F66F25" w:rsidP="00D04B5E">
      <w:pPr>
        <w:pStyle w:val="ListParagraph"/>
        <w:numPr>
          <w:ilvl w:val="1"/>
          <w:numId w:val="14"/>
        </w:numPr>
        <w:jc w:val="both"/>
        <w:rPr>
          <w:rFonts w:ascii="Aptos" w:hAnsi="Aptos"/>
        </w:rPr>
      </w:pPr>
      <w:r w:rsidRPr="3F5083B4">
        <w:rPr>
          <w:rFonts w:ascii="Aptos" w:hAnsi="Aptos"/>
        </w:rPr>
        <w:t xml:space="preserve">Location, size and </w:t>
      </w:r>
      <w:r w:rsidR="00B37492" w:rsidRPr="3F5083B4">
        <w:rPr>
          <w:rFonts w:ascii="Aptos" w:hAnsi="Aptos"/>
        </w:rPr>
        <w:t xml:space="preserve">potential </w:t>
      </w:r>
      <w:r w:rsidR="00CA3D40" w:rsidRPr="3F5083B4">
        <w:rPr>
          <w:rFonts w:ascii="Aptos" w:hAnsi="Aptos"/>
        </w:rPr>
        <w:t>rationalisation of s</w:t>
      </w:r>
      <w:r w:rsidR="00175534" w:rsidRPr="3F5083B4">
        <w:rPr>
          <w:rFonts w:ascii="Aptos" w:hAnsi="Aptos"/>
        </w:rPr>
        <w:t xml:space="preserve">tation </w:t>
      </w:r>
      <w:r w:rsidR="00CA3D40" w:rsidRPr="3F5083B4">
        <w:rPr>
          <w:rFonts w:ascii="Aptos" w:hAnsi="Aptos"/>
        </w:rPr>
        <w:t>f</w:t>
      </w:r>
      <w:r w:rsidR="00175534" w:rsidRPr="3F5083B4">
        <w:rPr>
          <w:rFonts w:ascii="Aptos" w:hAnsi="Aptos"/>
        </w:rPr>
        <w:t>acilities</w:t>
      </w:r>
      <w:r w:rsidR="001D7018" w:rsidRPr="3F5083B4">
        <w:rPr>
          <w:rFonts w:ascii="Aptos" w:hAnsi="Aptos"/>
        </w:rPr>
        <w:t xml:space="preserve"> </w:t>
      </w:r>
      <w:r w:rsidR="0034586C" w:rsidRPr="3F5083B4">
        <w:rPr>
          <w:rFonts w:ascii="Aptos" w:hAnsi="Aptos"/>
        </w:rPr>
        <w:t>(Toilets</w:t>
      </w:r>
      <w:r w:rsidR="00851E25" w:rsidRPr="3F5083B4">
        <w:rPr>
          <w:rFonts w:ascii="Aptos" w:hAnsi="Aptos"/>
        </w:rPr>
        <w:t xml:space="preserve">, </w:t>
      </w:r>
      <w:r w:rsidR="00086513" w:rsidRPr="3F5083B4">
        <w:rPr>
          <w:rFonts w:ascii="Aptos" w:hAnsi="Aptos"/>
        </w:rPr>
        <w:t>Operator facilities</w:t>
      </w:r>
      <w:r w:rsidR="009F0389" w:rsidRPr="3F5083B4">
        <w:rPr>
          <w:rFonts w:ascii="Aptos" w:hAnsi="Aptos"/>
        </w:rPr>
        <w:t>)</w:t>
      </w:r>
    </w:p>
    <w:p w14:paraId="209E0BFB" w14:textId="1DB13937" w:rsidR="559DB7A7" w:rsidRDefault="00C8475D" w:rsidP="00B254F9">
      <w:pPr>
        <w:rPr>
          <w:rFonts w:ascii="Aptos" w:hAnsi="Aptos"/>
          <w:b/>
          <w:bCs/>
          <w:sz w:val="24"/>
          <w:szCs w:val="24"/>
        </w:rPr>
      </w:pPr>
      <w:r>
        <w:rPr>
          <w:rFonts w:ascii="Aptos" w:hAnsi="Aptos"/>
          <w:b/>
          <w:bCs/>
          <w:sz w:val="24"/>
          <w:szCs w:val="24"/>
        </w:rPr>
        <w:br w:type="page"/>
      </w:r>
      <w:r w:rsidR="559DB7A7" w:rsidRPr="3F5083B4">
        <w:rPr>
          <w:rFonts w:ascii="Aptos" w:hAnsi="Aptos"/>
          <w:b/>
          <w:bCs/>
          <w:sz w:val="24"/>
          <w:szCs w:val="24"/>
        </w:rPr>
        <w:lastRenderedPageBreak/>
        <w:t>Indicative Timeline</w:t>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560"/>
        <w:gridCol w:w="5100"/>
        <w:gridCol w:w="2940"/>
      </w:tblGrid>
      <w:tr w:rsidR="3F5083B4" w14:paraId="4671B432" w14:textId="77777777" w:rsidTr="3F5083B4">
        <w:trPr>
          <w:trHeight w:val="300"/>
        </w:trPr>
        <w:tc>
          <w:tcPr>
            <w:tcW w:w="156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23B45784" w14:textId="53FFDDC9" w:rsidR="3F5083B4" w:rsidRDefault="3F5083B4" w:rsidP="00C8475D">
            <w:pPr>
              <w:spacing w:line="300" w:lineRule="auto"/>
              <w:ind w:left="102" w:hanging="142"/>
              <w:jc w:val="center"/>
              <w:rPr>
                <w:rFonts w:ascii="Aptos" w:eastAsia="Aptos" w:hAnsi="Aptos" w:cs="Aptos"/>
                <w:color w:val="000000" w:themeColor="text1"/>
                <w:sz w:val="24"/>
                <w:szCs w:val="24"/>
              </w:rPr>
            </w:pPr>
            <w:r w:rsidRPr="3F5083B4">
              <w:rPr>
                <w:rFonts w:ascii="Aptos" w:eastAsia="Aptos" w:hAnsi="Aptos" w:cs="Aptos"/>
                <w:color w:val="000000" w:themeColor="text1"/>
                <w:sz w:val="24"/>
                <w:szCs w:val="24"/>
              </w:rPr>
              <w:t>PQQ / ITT</w:t>
            </w:r>
          </w:p>
        </w:tc>
        <w:tc>
          <w:tcPr>
            <w:tcW w:w="51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3CD76F01" w14:textId="2FAB299B" w:rsidR="3F5083B4" w:rsidRDefault="3F5083B4" w:rsidP="00C8475D">
            <w:pPr>
              <w:spacing w:line="300" w:lineRule="auto"/>
              <w:ind w:left="105" w:hanging="142"/>
              <w:jc w:val="center"/>
              <w:rPr>
                <w:rFonts w:ascii="Aptos" w:eastAsia="Aptos" w:hAnsi="Aptos" w:cs="Aptos"/>
                <w:color w:val="000000" w:themeColor="text1"/>
                <w:sz w:val="24"/>
                <w:szCs w:val="24"/>
              </w:rPr>
            </w:pPr>
            <w:r w:rsidRPr="3F5083B4">
              <w:rPr>
                <w:rFonts w:ascii="Aptos" w:eastAsia="Aptos" w:hAnsi="Aptos" w:cs="Aptos"/>
                <w:b/>
                <w:bCs/>
                <w:color w:val="000000" w:themeColor="text1"/>
                <w:sz w:val="24"/>
                <w:szCs w:val="24"/>
              </w:rPr>
              <w:t>Milestone</w:t>
            </w:r>
          </w:p>
        </w:tc>
        <w:tc>
          <w:tcPr>
            <w:tcW w:w="294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5E71799B" w14:textId="08971871" w:rsidR="3F5083B4" w:rsidRDefault="3F5083B4" w:rsidP="00C8475D">
            <w:pPr>
              <w:spacing w:line="300" w:lineRule="auto"/>
              <w:ind w:left="105" w:hanging="142"/>
              <w:jc w:val="center"/>
              <w:rPr>
                <w:rFonts w:ascii="Aptos" w:eastAsia="Aptos" w:hAnsi="Aptos" w:cs="Aptos"/>
                <w:color w:val="000000" w:themeColor="text1"/>
                <w:sz w:val="24"/>
                <w:szCs w:val="24"/>
              </w:rPr>
            </w:pPr>
            <w:r w:rsidRPr="3F5083B4">
              <w:rPr>
                <w:rFonts w:ascii="Aptos" w:eastAsia="Aptos" w:hAnsi="Aptos" w:cs="Aptos"/>
                <w:b/>
                <w:bCs/>
                <w:color w:val="000000" w:themeColor="text1"/>
                <w:sz w:val="24"/>
                <w:szCs w:val="24"/>
              </w:rPr>
              <w:t>Date</w:t>
            </w:r>
          </w:p>
        </w:tc>
      </w:tr>
      <w:tr w:rsidR="3F5083B4" w14:paraId="7C6C3947" w14:textId="77777777" w:rsidTr="3F5083B4">
        <w:trPr>
          <w:trHeight w:val="300"/>
        </w:trPr>
        <w:tc>
          <w:tcPr>
            <w:tcW w:w="1560" w:type="dxa"/>
            <w:vMerge/>
            <w:tcBorders>
              <w:left w:val="single" w:sz="0" w:space="0" w:color="auto"/>
              <w:right w:val="single" w:sz="0" w:space="0" w:color="auto"/>
            </w:tcBorders>
            <w:vAlign w:val="center"/>
          </w:tcPr>
          <w:p w14:paraId="3C1C9DC3" w14:textId="77777777" w:rsidR="00066BD4" w:rsidRDefault="00066BD4"/>
        </w:tc>
        <w:tc>
          <w:tcPr>
            <w:tcW w:w="5100" w:type="dxa"/>
            <w:tcBorders>
              <w:top w:val="single" w:sz="6" w:space="0" w:color="auto"/>
              <w:left w:val="nil"/>
              <w:bottom w:val="single" w:sz="6" w:space="0" w:color="auto"/>
              <w:right w:val="single" w:sz="6" w:space="0" w:color="auto"/>
            </w:tcBorders>
            <w:tcMar>
              <w:left w:w="105" w:type="dxa"/>
              <w:right w:w="105" w:type="dxa"/>
            </w:tcMar>
            <w:vAlign w:val="center"/>
          </w:tcPr>
          <w:p w14:paraId="08ED9306" w14:textId="59DB76A8" w:rsidR="3F5083B4" w:rsidRDefault="3F5083B4" w:rsidP="3F5083B4">
            <w:pPr>
              <w:spacing w:line="300" w:lineRule="auto"/>
              <w:jc w:val="center"/>
              <w:rPr>
                <w:rFonts w:ascii="Aptos" w:eastAsia="Aptos" w:hAnsi="Aptos" w:cs="Aptos"/>
                <w:color w:val="000000" w:themeColor="text1"/>
              </w:rPr>
            </w:pPr>
            <w:r w:rsidRPr="3F5083B4">
              <w:rPr>
                <w:rFonts w:ascii="Aptos" w:eastAsia="Aptos" w:hAnsi="Aptos" w:cs="Aptos"/>
                <w:color w:val="000000" w:themeColor="text1"/>
              </w:rPr>
              <w:t>PIN</w:t>
            </w:r>
          </w:p>
        </w:tc>
        <w:tc>
          <w:tcPr>
            <w:tcW w:w="2940" w:type="dxa"/>
            <w:tcBorders>
              <w:top w:val="single" w:sz="6" w:space="0" w:color="000000" w:themeColor="text1"/>
              <w:left w:val="single" w:sz="6" w:space="0" w:color="auto"/>
              <w:bottom w:val="single" w:sz="6" w:space="0" w:color="000000" w:themeColor="text1"/>
              <w:right w:val="single" w:sz="6" w:space="0" w:color="000000" w:themeColor="text1"/>
            </w:tcBorders>
            <w:tcMar>
              <w:left w:w="105" w:type="dxa"/>
              <w:right w:w="105" w:type="dxa"/>
            </w:tcMar>
            <w:vAlign w:val="center"/>
          </w:tcPr>
          <w:p w14:paraId="093A4D68" w14:textId="765F646A" w:rsidR="3F5083B4" w:rsidRDefault="3F5083B4" w:rsidP="3F5083B4">
            <w:pPr>
              <w:spacing w:line="300" w:lineRule="auto"/>
              <w:jc w:val="center"/>
              <w:rPr>
                <w:rFonts w:ascii="Aptos" w:eastAsia="Aptos" w:hAnsi="Aptos" w:cs="Aptos"/>
                <w:color w:val="000000" w:themeColor="text1"/>
              </w:rPr>
            </w:pPr>
            <w:r w:rsidRPr="3F5083B4">
              <w:rPr>
                <w:rFonts w:ascii="Aptos" w:eastAsia="Aptos" w:hAnsi="Aptos" w:cs="Aptos"/>
                <w:color w:val="000000" w:themeColor="text1"/>
              </w:rPr>
              <w:t>17/12/2024</w:t>
            </w:r>
          </w:p>
        </w:tc>
      </w:tr>
      <w:tr w:rsidR="3F5083B4" w14:paraId="1C6D934D" w14:textId="77777777" w:rsidTr="3F5083B4">
        <w:trPr>
          <w:trHeight w:val="300"/>
        </w:trPr>
        <w:tc>
          <w:tcPr>
            <w:tcW w:w="1560" w:type="dxa"/>
            <w:vMerge/>
            <w:tcBorders>
              <w:left w:val="single" w:sz="0" w:space="0" w:color="auto"/>
              <w:right w:val="single" w:sz="0" w:space="0" w:color="auto"/>
            </w:tcBorders>
            <w:vAlign w:val="center"/>
          </w:tcPr>
          <w:p w14:paraId="6DB347F2" w14:textId="77777777" w:rsidR="00066BD4" w:rsidRDefault="00066BD4"/>
        </w:tc>
        <w:tc>
          <w:tcPr>
            <w:tcW w:w="5100" w:type="dxa"/>
            <w:tcBorders>
              <w:top w:val="single" w:sz="6" w:space="0" w:color="auto"/>
              <w:left w:val="nil"/>
              <w:bottom w:val="single" w:sz="6" w:space="0" w:color="auto"/>
              <w:right w:val="single" w:sz="6" w:space="0" w:color="auto"/>
            </w:tcBorders>
            <w:tcMar>
              <w:left w:w="105" w:type="dxa"/>
              <w:right w:w="105" w:type="dxa"/>
            </w:tcMar>
            <w:vAlign w:val="center"/>
          </w:tcPr>
          <w:p w14:paraId="7E5ADC96" w14:textId="7A5574B8" w:rsidR="3F5083B4" w:rsidRDefault="3F5083B4" w:rsidP="00C8475D">
            <w:pPr>
              <w:spacing w:line="300" w:lineRule="auto"/>
              <w:ind w:left="105" w:hanging="142"/>
              <w:jc w:val="center"/>
              <w:rPr>
                <w:rFonts w:ascii="Aptos" w:eastAsia="Aptos" w:hAnsi="Aptos" w:cs="Aptos"/>
                <w:color w:val="000000" w:themeColor="text1"/>
              </w:rPr>
            </w:pPr>
            <w:r w:rsidRPr="3F5083B4">
              <w:rPr>
                <w:rFonts w:ascii="Aptos" w:eastAsia="Aptos" w:hAnsi="Aptos" w:cs="Aptos"/>
                <w:color w:val="000000" w:themeColor="text1"/>
              </w:rPr>
              <w:t>Call for Competition</w:t>
            </w:r>
          </w:p>
        </w:tc>
        <w:tc>
          <w:tcPr>
            <w:tcW w:w="2940" w:type="dxa"/>
            <w:tcBorders>
              <w:top w:val="single" w:sz="6" w:space="0" w:color="000000" w:themeColor="text1"/>
              <w:left w:val="single" w:sz="6" w:space="0" w:color="auto"/>
              <w:bottom w:val="single" w:sz="6" w:space="0" w:color="000000" w:themeColor="text1"/>
              <w:right w:val="single" w:sz="6" w:space="0" w:color="000000" w:themeColor="text1"/>
            </w:tcBorders>
            <w:tcMar>
              <w:left w:w="105" w:type="dxa"/>
              <w:right w:w="105" w:type="dxa"/>
            </w:tcMar>
            <w:vAlign w:val="center"/>
          </w:tcPr>
          <w:p w14:paraId="774B404C" w14:textId="1FCB0C98" w:rsidR="3F5083B4" w:rsidRDefault="3F5083B4" w:rsidP="00C8475D">
            <w:pPr>
              <w:spacing w:line="300" w:lineRule="auto"/>
              <w:ind w:left="105" w:hanging="142"/>
              <w:jc w:val="center"/>
              <w:rPr>
                <w:rFonts w:ascii="Aptos" w:eastAsia="Aptos" w:hAnsi="Aptos" w:cs="Aptos"/>
                <w:color w:val="000000" w:themeColor="text1"/>
              </w:rPr>
            </w:pPr>
            <w:r w:rsidRPr="3F5083B4">
              <w:rPr>
                <w:rFonts w:ascii="Aptos" w:eastAsia="Aptos" w:hAnsi="Aptos" w:cs="Aptos"/>
                <w:color w:val="000000" w:themeColor="text1"/>
              </w:rPr>
              <w:t>23/01/2025</w:t>
            </w:r>
          </w:p>
        </w:tc>
      </w:tr>
      <w:tr w:rsidR="3F5083B4" w14:paraId="2F78599F" w14:textId="77777777" w:rsidTr="3F5083B4">
        <w:trPr>
          <w:trHeight w:val="300"/>
        </w:trPr>
        <w:tc>
          <w:tcPr>
            <w:tcW w:w="1560" w:type="dxa"/>
            <w:vMerge/>
            <w:tcBorders>
              <w:left w:val="single" w:sz="0" w:space="0" w:color="auto"/>
              <w:right w:val="single" w:sz="0" w:space="0" w:color="auto"/>
            </w:tcBorders>
            <w:vAlign w:val="center"/>
          </w:tcPr>
          <w:p w14:paraId="20829E5D" w14:textId="77777777" w:rsidR="00066BD4" w:rsidRDefault="00066BD4"/>
        </w:tc>
        <w:tc>
          <w:tcPr>
            <w:tcW w:w="5100" w:type="dxa"/>
            <w:tcBorders>
              <w:top w:val="single" w:sz="6" w:space="0" w:color="auto"/>
              <w:left w:val="nil"/>
              <w:bottom w:val="single" w:sz="6" w:space="0" w:color="auto"/>
              <w:right w:val="single" w:sz="6" w:space="0" w:color="auto"/>
            </w:tcBorders>
            <w:tcMar>
              <w:left w:w="105" w:type="dxa"/>
              <w:right w:w="105" w:type="dxa"/>
            </w:tcMar>
            <w:vAlign w:val="center"/>
          </w:tcPr>
          <w:p w14:paraId="037EFC8D" w14:textId="64F49C1F" w:rsidR="3F5083B4" w:rsidRDefault="3F5083B4" w:rsidP="00C8475D">
            <w:pPr>
              <w:spacing w:line="300" w:lineRule="auto"/>
              <w:ind w:left="105" w:hanging="142"/>
              <w:jc w:val="center"/>
              <w:rPr>
                <w:rFonts w:ascii="Aptos" w:eastAsia="Aptos" w:hAnsi="Aptos" w:cs="Aptos"/>
                <w:color w:val="000000" w:themeColor="text1"/>
              </w:rPr>
            </w:pPr>
            <w:r w:rsidRPr="3F5083B4">
              <w:rPr>
                <w:rFonts w:ascii="Aptos" w:eastAsia="Aptos" w:hAnsi="Aptos" w:cs="Aptos"/>
                <w:color w:val="000000" w:themeColor="text1"/>
              </w:rPr>
              <w:t>Bidder prepares response to PQQ – 20 days</w:t>
            </w:r>
          </w:p>
        </w:tc>
        <w:tc>
          <w:tcPr>
            <w:tcW w:w="2940" w:type="dxa"/>
            <w:tcBorders>
              <w:top w:val="single" w:sz="6" w:space="0" w:color="000000" w:themeColor="text1"/>
              <w:left w:val="single" w:sz="6" w:space="0" w:color="auto"/>
              <w:bottom w:val="single" w:sz="6" w:space="0" w:color="000000" w:themeColor="text1"/>
              <w:right w:val="single" w:sz="6" w:space="0" w:color="000000" w:themeColor="text1"/>
            </w:tcBorders>
            <w:tcMar>
              <w:left w:w="105" w:type="dxa"/>
              <w:right w:w="105" w:type="dxa"/>
            </w:tcMar>
            <w:vAlign w:val="center"/>
          </w:tcPr>
          <w:p w14:paraId="2B6A0A1B" w14:textId="6416C93A" w:rsidR="3F5083B4" w:rsidRDefault="3F5083B4" w:rsidP="00C8475D">
            <w:pPr>
              <w:spacing w:line="300" w:lineRule="auto"/>
              <w:ind w:left="105" w:hanging="142"/>
              <w:jc w:val="center"/>
              <w:rPr>
                <w:rFonts w:ascii="Aptos" w:eastAsia="Aptos" w:hAnsi="Aptos" w:cs="Aptos"/>
                <w:color w:val="000000" w:themeColor="text1"/>
              </w:rPr>
            </w:pPr>
            <w:r w:rsidRPr="3F5083B4">
              <w:rPr>
                <w:rFonts w:ascii="Aptos" w:eastAsia="Aptos" w:hAnsi="Aptos" w:cs="Aptos"/>
                <w:color w:val="000000" w:themeColor="text1"/>
              </w:rPr>
              <w:t>12/2/2025 by 1200hrs</w:t>
            </w:r>
          </w:p>
        </w:tc>
      </w:tr>
      <w:tr w:rsidR="3F5083B4" w14:paraId="3B430C11" w14:textId="77777777" w:rsidTr="3F5083B4">
        <w:trPr>
          <w:trHeight w:val="300"/>
        </w:trPr>
        <w:tc>
          <w:tcPr>
            <w:tcW w:w="1560" w:type="dxa"/>
            <w:vMerge/>
            <w:tcBorders>
              <w:left w:val="single" w:sz="0" w:space="0" w:color="auto"/>
              <w:right w:val="single" w:sz="0" w:space="0" w:color="auto"/>
            </w:tcBorders>
            <w:vAlign w:val="center"/>
          </w:tcPr>
          <w:p w14:paraId="42D92743" w14:textId="77777777" w:rsidR="00066BD4" w:rsidRDefault="00066BD4"/>
        </w:tc>
        <w:tc>
          <w:tcPr>
            <w:tcW w:w="5100" w:type="dxa"/>
            <w:tcBorders>
              <w:top w:val="single" w:sz="6" w:space="0" w:color="auto"/>
              <w:left w:val="nil"/>
              <w:bottom w:val="single" w:sz="6" w:space="0" w:color="auto"/>
              <w:right w:val="single" w:sz="6" w:space="0" w:color="auto"/>
            </w:tcBorders>
            <w:tcMar>
              <w:left w:w="105" w:type="dxa"/>
              <w:right w:w="105" w:type="dxa"/>
            </w:tcMar>
            <w:vAlign w:val="center"/>
          </w:tcPr>
          <w:p w14:paraId="7235D0E6" w14:textId="102D935D" w:rsidR="3F5083B4" w:rsidRDefault="3F5083B4" w:rsidP="3F5083B4">
            <w:pPr>
              <w:spacing w:line="300" w:lineRule="auto"/>
              <w:jc w:val="center"/>
              <w:rPr>
                <w:rFonts w:ascii="Aptos" w:eastAsia="Aptos" w:hAnsi="Aptos" w:cs="Aptos"/>
                <w:color w:val="000000" w:themeColor="text1"/>
              </w:rPr>
            </w:pPr>
            <w:r w:rsidRPr="3F5083B4">
              <w:rPr>
                <w:rFonts w:ascii="Aptos" w:eastAsia="Aptos" w:hAnsi="Aptos" w:cs="Aptos"/>
                <w:color w:val="000000" w:themeColor="text1"/>
              </w:rPr>
              <w:t>PQQ Evaluation – 5.5 days</w:t>
            </w:r>
          </w:p>
        </w:tc>
        <w:tc>
          <w:tcPr>
            <w:tcW w:w="2940" w:type="dxa"/>
            <w:tcBorders>
              <w:top w:val="single" w:sz="6" w:space="0" w:color="000000" w:themeColor="text1"/>
              <w:left w:val="single" w:sz="6" w:space="0" w:color="auto"/>
              <w:bottom w:val="single" w:sz="6" w:space="0" w:color="000000" w:themeColor="text1"/>
              <w:right w:val="single" w:sz="6" w:space="0" w:color="000000" w:themeColor="text1"/>
            </w:tcBorders>
            <w:tcMar>
              <w:left w:w="105" w:type="dxa"/>
              <w:right w:w="105" w:type="dxa"/>
            </w:tcMar>
            <w:vAlign w:val="center"/>
          </w:tcPr>
          <w:p w14:paraId="6665685D" w14:textId="7BDABB47" w:rsidR="3F5083B4" w:rsidRDefault="3F5083B4" w:rsidP="3F5083B4">
            <w:pPr>
              <w:spacing w:line="300" w:lineRule="auto"/>
              <w:jc w:val="center"/>
              <w:rPr>
                <w:rFonts w:ascii="Aptos" w:eastAsia="Aptos" w:hAnsi="Aptos" w:cs="Aptos"/>
                <w:color w:val="000000" w:themeColor="text1"/>
              </w:rPr>
            </w:pPr>
            <w:r w:rsidRPr="3F5083B4">
              <w:rPr>
                <w:rFonts w:ascii="Aptos" w:eastAsia="Aptos" w:hAnsi="Aptos" w:cs="Aptos"/>
                <w:color w:val="000000" w:themeColor="text1"/>
              </w:rPr>
              <w:t>12/2/2025 - 19/2/2025</w:t>
            </w:r>
          </w:p>
        </w:tc>
      </w:tr>
      <w:tr w:rsidR="3F5083B4" w14:paraId="5715E586" w14:textId="77777777" w:rsidTr="3F5083B4">
        <w:trPr>
          <w:trHeight w:val="300"/>
        </w:trPr>
        <w:tc>
          <w:tcPr>
            <w:tcW w:w="1560" w:type="dxa"/>
            <w:vMerge/>
            <w:tcBorders>
              <w:left w:val="single" w:sz="0" w:space="0" w:color="auto"/>
              <w:right w:val="single" w:sz="0" w:space="0" w:color="auto"/>
            </w:tcBorders>
            <w:vAlign w:val="center"/>
          </w:tcPr>
          <w:p w14:paraId="7631A662" w14:textId="77777777" w:rsidR="00066BD4" w:rsidRDefault="00066BD4"/>
        </w:tc>
        <w:tc>
          <w:tcPr>
            <w:tcW w:w="5100" w:type="dxa"/>
            <w:tcBorders>
              <w:top w:val="single" w:sz="6" w:space="0" w:color="auto"/>
              <w:left w:val="nil"/>
              <w:bottom w:val="single" w:sz="6" w:space="0" w:color="auto"/>
              <w:right w:val="single" w:sz="6" w:space="0" w:color="auto"/>
            </w:tcBorders>
            <w:tcMar>
              <w:left w:w="105" w:type="dxa"/>
              <w:right w:w="105" w:type="dxa"/>
            </w:tcMar>
            <w:vAlign w:val="center"/>
          </w:tcPr>
          <w:p w14:paraId="43923221" w14:textId="6AA83F56" w:rsidR="3F5083B4" w:rsidRDefault="3F5083B4" w:rsidP="00C8475D">
            <w:pPr>
              <w:spacing w:line="300" w:lineRule="auto"/>
              <w:ind w:left="105" w:hanging="142"/>
              <w:jc w:val="center"/>
              <w:rPr>
                <w:rFonts w:ascii="Aptos" w:eastAsia="Aptos" w:hAnsi="Aptos" w:cs="Aptos"/>
                <w:color w:val="000000" w:themeColor="text1"/>
              </w:rPr>
            </w:pPr>
            <w:r w:rsidRPr="3F5083B4">
              <w:rPr>
                <w:rFonts w:ascii="Aptos" w:eastAsia="Aptos" w:hAnsi="Aptos" w:cs="Aptos"/>
                <w:color w:val="000000" w:themeColor="text1"/>
              </w:rPr>
              <w:t>ITT issued to pre-qualifying bidders</w:t>
            </w:r>
          </w:p>
        </w:tc>
        <w:tc>
          <w:tcPr>
            <w:tcW w:w="2940" w:type="dxa"/>
            <w:tcBorders>
              <w:top w:val="single" w:sz="6" w:space="0" w:color="000000" w:themeColor="text1"/>
              <w:left w:val="single" w:sz="6" w:space="0" w:color="auto"/>
              <w:bottom w:val="single" w:sz="6" w:space="0" w:color="000000" w:themeColor="text1"/>
              <w:right w:val="single" w:sz="6" w:space="0" w:color="000000" w:themeColor="text1"/>
            </w:tcBorders>
            <w:tcMar>
              <w:left w:w="105" w:type="dxa"/>
              <w:right w:w="105" w:type="dxa"/>
            </w:tcMar>
            <w:vAlign w:val="center"/>
          </w:tcPr>
          <w:p w14:paraId="262854B0" w14:textId="05B1843A" w:rsidR="3F5083B4" w:rsidRDefault="3F5083B4" w:rsidP="3F5083B4">
            <w:pPr>
              <w:spacing w:line="300" w:lineRule="auto"/>
              <w:jc w:val="center"/>
              <w:rPr>
                <w:rFonts w:ascii="Aptos" w:eastAsia="Aptos" w:hAnsi="Aptos" w:cs="Aptos"/>
                <w:color w:val="000000" w:themeColor="text1"/>
              </w:rPr>
            </w:pPr>
            <w:r w:rsidRPr="3F5083B4">
              <w:rPr>
                <w:rFonts w:ascii="Aptos" w:eastAsia="Aptos" w:hAnsi="Aptos" w:cs="Aptos"/>
                <w:color w:val="000000" w:themeColor="text1"/>
              </w:rPr>
              <w:t>20/2/2025</w:t>
            </w:r>
          </w:p>
        </w:tc>
      </w:tr>
      <w:tr w:rsidR="3F5083B4" w14:paraId="47282C57" w14:textId="77777777" w:rsidTr="3F5083B4">
        <w:trPr>
          <w:trHeight w:val="300"/>
        </w:trPr>
        <w:tc>
          <w:tcPr>
            <w:tcW w:w="1560" w:type="dxa"/>
            <w:vMerge/>
            <w:tcBorders>
              <w:left w:val="single" w:sz="0" w:space="0" w:color="auto"/>
              <w:right w:val="single" w:sz="0" w:space="0" w:color="auto"/>
            </w:tcBorders>
            <w:vAlign w:val="center"/>
          </w:tcPr>
          <w:p w14:paraId="1FFD4B87" w14:textId="77777777" w:rsidR="00066BD4" w:rsidRDefault="00066BD4"/>
        </w:tc>
        <w:tc>
          <w:tcPr>
            <w:tcW w:w="5100" w:type="dxa"/>
            <w:tcBorders>
              <w:top w:val="single" w:sz="6" w:space="0" w:color="auto"/>
              <w:left w:val="nil"/>
              <w:bottom w:val="single" w:sz="6" w:space="0" w:color="auto"/>
              <w:right w:val="single" w:sz="6" w:space="0" w:color="auto"/>
            </w:tcBorders>
            <w:tcMar>
              <w:left w:w="105" w:type="dxa"/>
              <w:right w:w="105" w:type="dxa"/>
            </w:tcMar>
            <w:vAlign w:val="center"/>
          </w:tcPr>
          <w:p w14:paraId="421DE07C" w14:textId="03515142" w:rsidR="3F5083B4" w:rsidRDefault="3F5083B4" w:rsidP="00C8475D">
            <w:pPr>
              <w:spacing w:line="300" w:lineRule="auto"/>
              <w:ind w:left="105" w:hanging="142"/>
              <w:jc w:val="center"/>
              <w:rPr>
                <w:rFonts w:ascii="Aptos" w:eastAsia="Aptos" w:hAnsi="Aptos" w:cs="Aptos"/>
                <w:color w:val="000000" w:themeColor="text1"/>
              </w:rPr>
            </w:pPr>
            <w:r w:rsidRPr="3F5083B4">
              <w:rPr>
                <w:rFonts w:ascii="Aptos" w:eastAsia="Aptos" w:hAnsi="Aptos" w:cs="Aptos"/>
                <w:color w:val="000000" w:themeColor="text1"/>
              </w:rPr>
              <w:t>Bidder prepares response to ITT – 20 days</w:t>
            </w:r>
          </w:p>
        </w:tc>
        <w:tc>
          <w:tcPr>
            <w:tcW w:w="2940" w:type="dxa"/>
            <w:tcBorders>
              <w:top w:val="single" w:sz="6" w:space="0" w:color="000000" w:themeColor="text1"/>
              <w:left w:val="single" w:sz="6" w:space="0" w:color="auto"/>
              <w:bottom w:val="single" w:sz="6" w:space="0" w:color="000000" w:themeColor="text1"/>
              <w:right w:val="single" w:sz="6" w:space="0" w:color="000000" w:themeColor="text1"/>
            </w:tcBorders>
            <w:tcMar>
              <w:left w:w="105" w:type="dxa"/>
              <w:right w:w="105" w:type="dxa"/>
            </w:tcMar>
            <w:vAlign w:val="center"/>
          </w:tcPr>
          <w:p w14:paraId="0FE84C6E" w14:textId="46414401" w:rsidR="3F5083B4" w:rsidRDefault="3F5083B4" w:rsidP="00C8475D">
            <w:pPr>
              <w:spacing w:line="300" w:lineRule="auto"/>
              <w:ind w:left="105" w:hanging="142"/>
              <w:jc w:val="center"/>
              <w:rPr>
                <w:rFonts w:ascii="Aptos" w:eastAsia="Aptos" w:hAnsi="Aptos" w:cs="Aptos"/>
                <w:color w:val="000000" w:themeColor="text1"/>
              </w:rPr>
            </w:pPr>
            <w:r w:rsidRPr="3F5083B4">
              <w:rPr>
                <w:rFonts w:ascii="Aptos" w:eastAsia="Aptos" w:hAnsi="Aptos" w:cs="Aptos"/>
                <w:color w:val="000000" w:themeColor="text1"/>
              </w:rPr>
              <w:t>20/2/2025 - 20/3/2025</w:t>
            </w:r>
          </w:p>
          <w:p w14:paraId="138CD21D" w14:textId="6AEC089A" w:rsidR="3F5083B4" w:rsidRDefault="3F5083B4" w:rsidP="00C8475D">
            <w:pPr>
              <w:spacing w:line="300" w:lineRule="auto"/>
              <w:ind w:left="105" w:hanging="142"/>
              <w:jc w:val="center"/>
              <w:rPr>
                <w:rFonts w:ascii="Aptos" w:eastAsia="Aptos" w:hAnsi="Aptos" w:cs="Aptos"/>
                <w:color w:val="000000" w:themeColor="text1"/>
              </w:rPr>
            </w:pPr>
            <w:r w:rsidRPr="3F5083B4">
              <w:rPr>
                <w:rFonts w:ascii="Aptos" w:eastAsia="Aptos" w:hAnsi="Aptos" w:cs="Aptos"/>
                <w:color w:val="000000" w:themeColor="text1"/>
              </w:rPr>
              <w:t>(by 1200hrs)</w:t>
            </w:r>
          </w:p>
        </w:tc>
      </w:tr>
      <w:tr w:rsidR="3F5083B4" w14:paraId="39343A52" w14:textId="77777777" w:rsidTr="3F5083B4">
        <w:trPr>
          <w:trHeight w:val="300"/>
        </w:trPr>
        <w:tc>
          <w:tcPr>
            <w:tcW w:w="1560" w:type="dxa"/>
            <w:vMerge/>
            <w:tcBorders>
              <w:left w:val="single" w:sz="0" w:space="0" w:color="auto"/>
              <w:right w:val="single" w:sz="0" w:space="0" w:color="auto"/>
            </w:tcBorders>
            <w:vAlign w:val="center"/>
          </w:tcPr>
          <w:p w14:paraId="499BE460" w14:textId="77777777" w:rsidR="00066BD4" w:rsidRDefault="00066BD4"/>
        </w:tc>
        <w:tc>
          <w:tcPr>
            <w:tcW w:w="5100" w:type="dxa"/>
            <w:tcBorders>
              <w:top w:val="single" w:sz="6" w:space="0" w:color="auto"/>
              <w:left w:val="nil"/>
              <w:bottom w:val="single" w:sz="6" w:space="0" w:color="auto"/>
              <w:right w:val="single" w:sz="6" w:space="0" w:color="auto"/>
            </w:tcBorders>
            <w:tcMar>
              <w:left w:w="105" w:type="dxa"/>
              <w:right w:w="105" w:type="dxa"/>
            </w:tcMar>
            <w:vAlign w:val="center"/>
          </w:tcPr>
          <w:p w14:paraId="6B38CA1E" w14:textId="1766BA83" w:rsidR="3F5083B4" w:rsidRDefault="3F5083B4" w:rsidP="3F5083B4">
            <w:pPr>
              <w:spacing w:line="300" w:lineRule="auto"/>
              <w:jc w:val="center"/>
              <w:rPr>
                <w:rFonts w:ascii="Aptos" w:eastAsia="Aptos" w:hAnsi="Aptos" w:cs="Aptos"/>
                <w:color w:val="000000" w:themeColor="text1"/>
              </w:rPr>
            </w:pPr>
            <w:r w:rsidRPr="3F5083B4">
              <w:rPr>
                <w:rFonts w:ascii="Aptos" w:eastAsia="Aptos" w:hAnsi="Aptos" w:cs="Aptos"/>
                <w:color w:val="000000" w:themeColor="text1"/>
              </w:rPr>
              <w:t>HS1 respond to any ITT Clarifications</w:t>
            </w:r>
          </w:p>
        </w:tc>
        <w:tc>
          <w:tcPr>
            <w:tcW w:w="2940" w:type="dxa"/>
            <w:tcBorders>
              <w:top w:val="single" w:sz="6" w:space="0" w:color="000000" w:themeColor="text1"/>
              <w:left w:val="single" w:sz="6" w:space="0" w:color="auto"/>
              <w:bottom w:val="single" w:sz="6" w:space="0" w:color="000000" w:themeColor="text1"/>
              <w:right w:val="single" w:sz="6" w:space="0" w:color="000000" w:themeColor="text1"/>
            </w:tcBorders>
            <w:tcMar>
              <w:left w:w="105" w:type="dxa"/>
              <w:right w:w="105" w:type="dxa"/>
            </w:tcMar>
            <w:vAlign w:val="center"/>
          </w:tcPr>
          <w:p w14:paraId="4DEAD836" w14:textId="0D554676" w:rsidR="3F5083B4" w:rsidRDefault="3F5083B4" w:rsidP="3F5083B4">
            <w:pPr>
              <w:spacing w:line="300" w:lineRule="auto"/>
              <w:jc w:val="center"/>
              <w:rPr>
                <w:rFonts w:ascii="Aptos" w:eastAsia="Aptos" w:hAnsi="Aptos" w:cs="Aptos"/>
                <w:color w:val="000000" w:themeColor="text1"/>
              </w:rPr>
            </w:pPr>
            <w:r w:rsidRPr="3F5083B4">
              <w:rPr>
                <w:rFonts w:ascii="Aptos" w:eastAsia="Aptos" w:hAnsi="Aptos" w:cs="Aptos"/>
                <w:color w:val="000000" w:themeColor="text1"/>
              </w:rPr>
              <w:t>20/2/2025 - 3/3/2025</w:t>
            </w:r>
          </w:p>
        </w:tc>
      </w:tr>
      <w:tr w:rsidR="3F5083B4" w14:paraId="760A4710" w14:textId="77777777" w:rsidTr="3F5083B4">
        <w:trPr>
          <w:trHeight w:val="300"/>
        </w:trPr>
        <w:tc>
          <w:tcPr>
            <w:tcW w:w="1560" w:type="dxa"/>
            <w:vMerge/>
            <w:tcBorders>
              <w:left w:val="single" w:sz="0" w:space="0" w:color="auto"/>
              <w:right w:val="single" w:sz="0" w:space="0" w:color="auto"/>
            </w:tcBorders>
            <w:vAlign w:val="center"/>
          </w:tcPr>
          <w:p w14:paraId="4ACA4839" w14:textId="77777777" w:rsidR="00066BD4" w:rsidRDefault="00066BD4"/>
        </w:tc>
        <w:tc>
          <w:tcPr>
            <w:tcW w:w="5100" w:type="dxa"/>
            <w:tcBorders>
              <w:top w:val="single" w:sz="6" w:space="0" w:color="auto"/>
              <w:left w:val="nil"/>
              <w:bottom w:val="single" w:sz="6" w:space="0" w:color="auto"/>
              <w:right w:val="single" w:sz="6" w:space="0" w:color="auto"/>
            </w:tcBorders>
            <w:tcMar>
              <w:left w:w="105" w:type="dxa"/>
              <w:right w:w="105" w:type="dxa"/>
            </w:tcMar>
            <w:vAlign w:val="center"/>
          </w:tcPr>
          <w:p w14:paraId="48106249" w14:textId="5EC4E26A" w:rsidR="3F5083B4" w:rsidRDefault="3F5083B4" w:rsidP="3F5083B4">
            <w:pPr>
              <w:spacing w:line="300" w:lineRule="auto"/>
              <w:jc w:val="center"/>
              <w:rPr>
                <w:rFonts w:ascii="Aptos" w:eastAsia="Aptos" w:hAnsi="Aptos" w:cs="Aptos"/>
                <w:color w:val="000000" w:themeColor="text1"/>
              </w:rPr>
            </w:pPr>
            <w:r w:rsidRPr="3F5083B4">
              <w:rPr>
                <w:rFonts w:ascii="Aptos" w:eastAsia="Aptos" w:hAnsi="Aptos" w:cs="Aptos"/>
                <w:color w:val="000000" w:themeColor="text1"/>
              </w:rPr>
              <w:t>ITT Evaluation – 12.5 days</w:t>
            </w:r>
          </w:p>
        </w:tc>
        <w:tc>
          <w:tcPr>
            <w:tcW w:w="2940" w:type="dxa"/>
            <w:tcBorders>
              <w:top w:val="single" w:sz="6" w:space="0" w:color="000000" w:themeColor="text1"/>
              <w:left w:val="single" w:sz="6" w:space="0" w:color="auto"/>
              <w:bottom w:val="single" w:sz="6" w:space="0" w:color="000000" w:themeColor="text1"/>
              <w:right w:val="single" w:sz="6" w:space="0" w:color="000000" w:themeColor="text1"/>
            </w:tcBorders>
            <w:tcMar>
              <w:left w:w="105" w:type="dxa"/>
              <w:right w:w="105" w:type="dxa"/>
            </w:tcMar>
            <w:vAlign w:val="center"/>
          </w:tcPr>
          <w:p w14:paraId="43D69B50" w14:textId="0C826EAE" w:rsidR="3F5083B4" w:rsidRDefault="3F5083B4" w:rsidP="00C8475D">
            <w:pPr>
              <w:spacing w:line="300" w:lineRule="auto"/>
              <w:ind w:left="105" w:hanging="142"/>
              <w:jc w:val="center"/>
              <w:rPr>
                <w:rFonts w:ascii="Aptos" w:eastAsia="Aptos" w:hAnsi="Aptos" w:cs="Aptos"/>
                <w:color w:val="000000" w:themeColor="text1"/>
              </w:rPr>
            </w:pPr>
            <w:r w:rsidRPr="3F5083B4">
              <w:rPr>
                <w:rFonts w:ascii="Aptos" w:eastAsia="Aptos" w:hAnsi="Aptos" w:cs="Aptos"/>
                <w:color w:val="000000" w:themeColor="text1"/>
              </w:rPr>
              <w:t>20/3/2025 - 5/4/2025</w:t>
            </w:r>
          </w:p>
        </w:tc>
      </w:tr>
      <w:tr w:rsidR="3F5083B4" w14:paraId="00EED7A0" w14:textId="77777777" w:rsidTr="3F5083B4">
        <w:trPr>
          <w:trHeight w:val="300"/>
        </w:trPr>
        <w:tc>
          <w:tcPr>
            <w:tcW w:w="1560" w:type="dxa"/>
            <w:vMerge/>
            <w:tcBorders>
              <w:left w:val="single" w:sz="0" w:space="0" w:color="auto"/>
              <w:right w:val="single" w:sz="0" w:space="0" w:color="auto"/>
            </w:tcBorders>
            <w:vAlign w:val="center"/>
          </w:tcPr>
          <w:p w14:paraId="3019A823" w14:textId="77777777" w:rsidR="00066BD4" w:rsidRDefault="00066BD4"/>
        </w:tc>
        <w:tc>
          <w:tcPr>
            <w:tcW w:w="5100" w:type="dxa"/>
            <w:tcBorders>
              <w:top w:val="single" w:sz="6" w:space="0" w:color="auto"/>
              <w:left w:val="nil"/>
              <w:bottom w:val="single" w:sz="6" w:space="0" w:color="auto"/>
              <w:right w:val="single" w:sz="6" w:space="0" w:color="auto"/>
            </w:tcBorders>
            <w:tcMar>
              <w:left w:w="105" w:type="dxa"/>
              <w:right w:w="105" w:type="dxa"/>
            </w:tcMar>
            <w:vAlign w:val="center"/>
          </w:tcPr>
          <w:p w14:paraId="71C4B763" w14:textId="65852D0D" w:rsidR="3F5083B4" w:rsidRDefault="3F5083B4" w:rsidP="00C8475D">
            <w:pPr>
              <w:spacing w:line="300" w:lineRule="auto"/>
              <w:ind w:left="105" w:hanging="142"/>
              <w:jc w:val="center"/>
              <w:rPr>
                <w:rFonts w:ascii="Aptos" w:eastAsia="Aptos" w:hAnsi="Aptos" w:cs="Aptos"/>
                <w:color w:val="000000" w:themeColor="text1"/>
              </w:rPr>
            </w:pPr>
            <w:r w:rsidRPr="3F5083B4">
              <w:rPr>
                <w:rFonts w:ascii="Aptos" w:eastAsia="Aptos" w:hAnsi="Aptos" w:cs="Aptos"/>
                <w:color w:val="000000" w:themeColor="text1"/>
              </w:rPr>
              <w:t>Interviews</w:t>
            </w:r>
          </w:p>
        </w:tc>
        <w:tc>
          <w:tcPr>
            <w:tcW w:w="2940" w:type="dxa"/>
            <w:tcBorders>
              <w:top w:val="single" w:sz="6" w:space="0" w:color="000000" w:themeColor="text1"/>
              <w:left w:val="single" w:sz="6" w:space="0" w:color="auto"/>
              <w:bottom w:val="single" w:sz="6" w:space="0" w:color="000000" w:themeColor="text1"/>
              <w:right w:val="single" w:sz="6" w:space="0" w:color="000000" w:themeColor="text1"/>
            </w:tcBorders>
            <w:tcMar>
              <w:left w:w="105" w:type="dxa"/>
              <w:right w:w="105" w:type="dxa"/>
            </w:tcMar>
            <w:vAlign w:val="center"/>
          </w:tcPr>
          <w:p w14:paraId="53BA36A1" w14:textId="5110738C" w:rsidR="3F5083B4" w:rsidRDefault="3F5083B4" w:rsidP="00C8475D">
            <w:pPr>
              <w:spacing w:line="300" w:lineRule="auto"/>
              <w:ind w:left="105" w:hanging="142"/>
              <w:jc w:val="center"/>
              <w:rPr>
                <w:rFonts w:ascii="Aptos" w:eastAsia="Aptos" w:hAnsi="Aptos" w:cs="Aptos"/>
                <w:color w:val="000000" w:themeColor="text1"/>
              </w:rPr>
            </w:pPr>
            <w:r w:rsidRPr="3F5083B4">
              <w:rPr>
                <w:rFonts w:ascii="Aptos" w:eastAsia="Aptos" w:hAnsi="Aptos" w:cs="Aptos"/>
                <w:color w:val="000000" w:themeColor="text1"/>
              </w:rPr>
              <w:t>w/c 8</w:t>
            </w:r>
            <w:r w:rsidRPr="3F5083B4">
              <w:rPr>
                <w:rFonts w:ascii="Aptos" w:eastAsia="Aptos" w:hAnsi="Aptos" w:cs="Aptos"/>
                <w:color w:val="000000" w:themeColor="text1"/>
                <w:vertAlign w:val="superscript"/>
              </w:rPr>
              <w:t>th</w:t>
            </w:r>
            <w:r w:rsidRPr="3F5083B4">
              <w:rPr>
                <w:rFonts w:ascii="Aptos" w:eastAsia="Aptos" w:hAnsi="Aptos" w:cs="Aptos"/>
                <w:color w:val="000000" w:themeColor="text1"/>
              </w:rPr>
              <w:t xml:space="preserve"> April 2025</w:t>
            </w:r>
          </w:p>
        </w:tc>
      </w:tr>
      <w:tr w:rsidR="3F5083B4" w14:paraId="684B8D3D" w14:textId="77777777" w:rsidTr="3F5083B4">
        <w:trPr>
          <w:trHeight w:val="300"/>
        </w:trPr>
        <w:tc>
          <w:tcPr>
            <w:tcW w:w="1560" w:type="dxa"/>
            <w:vMerge/>
            <w:tcBorders>
              <w:left w:val="single" w:sz="0" w:space="0" w:color="auto"/>
              <w:right w:val="single" w:sz="0" w:space="0" w:color="auto"/>
            </w:tcBorders>
            <w:vAlign w:val="center"/>
          </w:tcPr>
          <w:p w14:paraId="7BFA0E6F" w14:textId="77777777" w:rsidR="00066BD4" w:rsidRDefault="00066BD4"/>
        </w:tc>
        <w:tc>
          <w:tcPr>
            <w:tcW w:w="5100" w:type="dxa"/>
            <w:tcBorders>
              <w:top w:val="single" w:sz="6" w:space="0" w:color="auto"/>
              <w:left w:val="nil"/>
              <w:bottom w:val="single" w:sz="6" w:space="0" w:color="auto"/>
              <w:right w:val="single" w:sz="6" w:space="0" w:color="auto"/>
            </w:tcBorders>
            <w:tcMar>
              <w:left w:w="105" w:type="dxa"/>
              <w:right w:w="105" w:type="dxa"/>
            </w:tcMar>
            <w:vAlign w:val="center"/>
          </w:tcPr>
          <w:p w14:paraId="792CF372" w14:textId="5671C525" w:rsidR="3F5083B4" w:rsidRDefault="3F5083B4" w:rsidP="00C8475D">
            <w:pPr>
              <w:spacing w:line="300" w:lineRule="auto"/>
              <w:ind w:left="105" w:hanging="142"/>
              <w:jc w:val="center"/>
              <w:rPr>
                <w:rFonts w:ascii="Aptos" w:eastAsia="Aptos" w:hAnsi="Aptos" w:cs="Aptos"/>
                <w:color w:val="000000" w:themeColor="text1"/>
              </w:rPr>
            </w:pPr>
            <w:r w:rsidRPr="3F5083B4">
              <w:rPr>
                <w:rFonts w:ascii="Aptos" w:eastAsia="Aptos" w:hAnsi="Aptos" w:cs="Aptos"/>
                <w:color w:val="000000" w:themeColor="text1"/>
              </w:rPr>
              <w:t xml:space="preserve">Intention to award </w:t>
            </w:r>
          </w:p>
        </w:tc>
        <w:tc>
          <w:tcPr>
            <w:tcW w:w="2940" w:type="dxa"/>
            <w:tcBorders>
              <w:top w:val="single" w:sz="6" w:space="0" w:color="000000" w:themeColor="text1"/>
              <w:left w:val="single" w:sz="6" w:space="0" w:color="auto"/>
              <w:bottom w:val="single" w:sz="6" w:space="0" w:color="000000" w:themeColor="text1"/>
              <w:right w:val="single" w:sz="6" w:space="0" w:color="000000" w:themeColor="text1"/>
            </w:tcBorders>
            <w:tcMar>
              <w:left w:w="105" w:type="dxa"/>
              <w:right w:w="105" w:type="dxa"/>
            </w:tcMar>
            <w:vAlign w:val="center"/>
          </w:tcPr>
          <w:p w14:paraId="0BFCF3A1" w14:textId="387B0596" w:rsidR="3F5083B4" w:rsidRDefault="3F5083B4" w:rsidP="00C8475D">
            <w:pPr>
              <w:spacing w:line="300" w:lineRule="auto"/>
              <w:ind w:left="105" w:hanging="142"/>
              <w:jc w:val="center"/>
              <w:rPr>
                <w:rFonts w:ascii="Aptos" w:eastAsia="Aptos" w:hAnsi="Aptos" w:cs="Aptos"/>
                <w:color w:val="000000" w:themeColor="text1"/>
              </w:rPr>
            </w:pPr>
            <w:r w:rsidRPr="3F5083B4">
              <w:rPr>
                <w:rFonts w:ascii="Aptos" w:eastAsia="Aptos" w:hAnsi="Aptos" w:cs="Aptos"/>
                <w:color w:val="000000" w:themeColor="text1"/>
              </w:rPr>
              <w:t>w/c 15</w:t>
            </w:r>
            <w:r w:rsidRPr="3F5083B4">
              <w:rPr>
                <w:rFonts w:ascii="Aptos" w:eastAsia="Aptos" w:hAnsi="Aptos" w:cs="Aptos"/>
                <w:color w:val="000000" w:themeColor="text1"/>
                <w:vertAlign w:val="superscript"/>
              </w:rPr>
              <w:t>th</w:t>
            </w:r>
            <w:r w:rsidRPr="3F5083B4">
              <w:rPr>
                <w:rFonts w:ascii="Aptos" w:eastAsia="Aptos" w:hAnsi="Aptos" w:cs="Aptos"/>
                <w:color w:val="000000" w:themeColor="text1"/>
              </w:rPr>
              <w:t xml:space="preserve"> April 2025</w:t>
            </w:r>
          </w:p>
        </w:tc>
      </w:tr>
      <w:tr w:rsidR="3F5083B4" w14:paraId="4AC3CE45" w14:textId="77777777" w:rsidTr="3F5083B4">
        <w:trPr>
          <w:trHeight w:val="300"/>
        </w:trPr>
        <w:tc>
          <w:tcPr>
            <w:tcW w:w="1560" w:type="dxa"/>
            <w:vMerge/>
            <w:tcBorders>
              <w:left w:val="single" w:sz="0" w:space="0" w:color="auto"/>
              <w:right w:val="single" w:sz="0" w:space="0" w:color="auto"/>
            </w:tcBorders>
            <w:vAlign w:val="center"/>
          </w:tcPr>
          <w:p w14:paraId="71137A0F" w14:textId="77777777" w:rsidR="00066BD4" w:rsidRDefault="00066BD4"/>
        </w:tc>
        <w:tc>
          <w:tcPr>
            <w:tcW w:w="5100" w:type="dxa"/>
            <w:tcBorders>
              <w:top w:val="single" w:sz="6" w:space="0" w:color="auto"/>
              <w:left w:val="nil"/>
              <w:bottom w:val="single" w:sz="6" w:space="0" w:color="auto"/>
              <w:right w:val="single" w:sz="6" w:space="0" w:color="auto"/>
            </w:tcBorders>
            <w:tcMar>
              <w:left w:w="105" w:type="dxa"/>
              <w:right w:w="105" w:type="dxa"/>
            </w:tcMar>
            <w:vAlign w:val="center"/>
          </w:tcPr>
          <w:p w14:paraId="210B38C7" w14:textId="7FC2C01B" w:rsidR="3F5083B4" w:rsidRDefault="3F5083B4" w:rsidP="00C8475D">
            <w:pPr>
              <w:spacing w:line="300" w:lineRule="auto"/>
              <w:ind w:left="105" w:hanging="142"/>
              <w:jc w:val="center"/>
              <w:rPr>
                <w:rFonts w:ascii="Aptos" w:eastAsia="Aptos" w:hAnsi="Aptos" w:cs="Aptos"/>
                <w:color w:val="000000" w:themeColor="text1"/>
              </w:rPr>
            </w:pPr>
            <w:r w:rsidRPr="3F5083B4">
              <w:rPr>
                <w:rFonts w:ascii="Aptos" w:eastAsia="Aptos" w:hAnsi="Aptos" w:cs="Aptos"/>
                <w:color w:val="000000" w:themeColor="text1"/>
              </w:rPr>
              <w:t>Standstill period 10 calendar days</w:t>
            </w:r>
          </w:p>
        </w:tc>
        <w:tc>
          <w:tcPr>
            <w:tcW w:w="2940" w:type="dxa"/>
            <w:tcBorders>
              <w:top w:val="single" w:sz="6" w:space="0" w:color="000000" w:themeColor="text1"/>
              <w:left w:val="single" w:sz="6" w:space="0" w:color="auto"/>
              <w:bottom w:val="single" w:sz="6" w:space="0" w:color="000000" w:themeColor="text1"/>
              <w:right w:val="single" w:sz="6" w:space="0" w:color="000000" w:themeColor="text1"/>
            </w:tcBorders>
            <w:tcMar>
              <w:left w:w="105" w:type="dxa"/>
              <w:right w:w="105" w:type="dxa"/>
            </w:tcMar>
            <w:vAlign w:val="center"/>
          </w:tcPr>
          <w:p w14:paraId="61B41C22" w14:textId="42C7C694" w:rsidR="3F5083B4" w:rsidRDefault="3F5083B4" w:rsidP="00C8475D">
            <w:pPr>
              <w:spacing w:line="300" w:lineRule="auto"/>
              <w:ind w:left="105" w:hanging="142"/>
              <w:jc w:val="center"/>
              <w:rPr>
                <w:rFonts w:ascii="Aptos" w:eastAsia="Aptos" w:hAnsi="Aptos" w:cs="Aptos"/>
                <w:color w:val="000000" w:themeColor="text1"/>
              </w:rPr>
            </w:pPr>
            <w:r w:rsidRPr="3F5083B4">
              <w:rPr>
                <w:rFonts w:ascii="Aptos" w:eastAsia="Aptos" w:hAnsi="Aptos" w:cs="Aptos"/>
                <w:color w:val="000000" w:themeColor="text1"/>
              </w:rPr>
              <w:t>+10 days after award</w:t>
            </w:r>
          </w:p>
        </w:tc>
      </w:tr>
      <w:tr w:rsidR="3F5083B4" w14:paraId="0709C64B" w14:textId="77777777" w:rsidTr="3F5083B4">
        <w:trPr>
          <w:trHeight w:val="300"/>
        </w:trPr>
        <w:tc>
          <w:tcPr>
            <w:tcW w:w="1560" w:type="dxa"/>
            <w:vMerge/>
            <w:tcBorders>
              <w:left w:val="single" w:sz="0" w:space="0" w:color="auto"/>
              <w:right w:val="single" w:sz="0" w:space="0" w:color="auto"/>
            </w:tcBorders>
            <w:vAlign w:val="center"/>
          </w:tcPr>
          <w:p w14:paraId="46450684" w14:textId="77777777" w:rsidR="00066BD4" w:rsidRDefault="00066BD4"/>
        </w:tc>
        <w:tc>
          <w:tcPr>
            <w:tcW w:w="5100" w:type="dxa"/>
            <w:tcBorders>
              <w:top w:val="single" w:sz="6" w:space="0" w:color="auto"/>
              <w:left w:val="nil"/>
              <w:bottom w:val="single" w:sz="6" w:space="0" w:color="auto"/>
              <w:right w:val="single" w:sz="6" w:space="0" w:color="auto"/>
            </w:tcBorders>
            <w:tcMar>
              <w:left w:w="105" w:type="dxa"/>
              <w:right w:w="105" w:type="dxa"/>
            </w:tcMar>
            <w:vAlign w:val="center"/>
          </w:tcPr>
          <w:p w14:paraId="78E80B76" w14:textId="65E47547" w:rsidR="3F5083B4" w:rsidRDefault="3F5083B4" w:rsidP="00C8475D">
            <w:pPr>
              <w:spacing w:line="300" w:lineRule="auto"/>
              <w:ind w:left="105" w:hanging="142"/>
              <w:jc w:val="center"/>
              <w:rPr>
                <w:rFonts w:ascii="Aptos" w:eastAsia="Aptos" w:hAnsi="Aptos" w:cs="Aptos"/>
                <w:color w:val="000000" w:themeColor="text1"/>
              </w:rPr>
            </w:pPr>
            <w:r w:rsidRPr="3F5083B4">
              <w:rPr>
                <w:rFonts w:ascii="Aptos" w:eastAsia="Aptos" w:hAnsi="Aptos" w:cs="Aptos"/>
                <w:color w:val="000000" w:themeColor="text1"/>
              </w:rPr>
              <w:t>Contract executed (indicative)</w:t>
            </w:r>
          </w:p>
        </w:tc>
        <w:tc>
          <w:tcPr>
            <w:tcW w:w="2940" w:type="dxa"/>
            <w:tcBorders>
              <w:top w:val="single" w:sz="6" w:space="0" w:color="000000" w:themeColor="text1"/>
              <w:left w:val="single" w:sz="6" w:space="0" w:color="auto"/>
              <w:bottom w:val="single" w:sz="6" w:space="0" w:color="000000" w:themeColor="text1"/>
              <w:right w:val="single" w:sz="6" w:space="0" w:color="000000" w:themeColor="text1"/>
            </w:tcBorders>
            <w:tcMar>
              <w:left w:w="105" w:type="dxa"/>
              <w:right w:w="105" w:type="dxa"/>
            </w:tcMar>
            <w:vAlign w:val="center"/>
          </w:tcPr>
          <w:p w14:paraId="14CAB391" w14:textId="3440D1F4" w:rsidR="3F5083B4" w:rsidRDefault="3F5083B4" w:rsidP="00C8475D">
            <w:pPr>
              <w:spacing w:line="300" w:lineRule="auto"/>
              <w:ind w:left="105" w:hanging="142"/>
              <w:jc w:val="center"/>
              <w:rPr>
                <w:rFonts w:ascii="Aptos" w:eastAsia="Aptos" w:hAnsi="Aptos" w:cs="Aptos"/>
                <w:color w:val="000000" w:themeColor="text1"/>
              </w:rPr>
            </w:pPr>
            <w:r w:rsidRPr="3F5083B4">
              <w:rPr>
                <w:rFonts w:ascii="Aptos" w:eastAsia="Aptos" w:hAnsi="Aptos" w:cs="Aptos"/>
                <w:color w:val="000000" w:themeColor="text1"/>
              </w:rPr>
              <w:t>April 2025</w:t>
            </w:r>
          </w:p>
        </w:tc>
      </w:tr>
      <w:tr w:rsidR="3F5083B4" w14:paraId="5AD5382E" w14:textId="77777777" w:rsidTr="3F5083B4">
        <w:trPr>
          <w:trHeight w:val="300"/>
        </w:trPr>
        <w:tc>
          <w:tcPr>
            <w:tcW w:w="1560" w:type="dxa"/>
            <w:vMerge/>
            <w:tcBorders>
              <w:top w:val="single" w:sz="0" w:space="0" w:color="auto"/>
              <w:left w:val="single" w:sz="0" w:space="0" w:color="auto"/>
              <w:bottom w:val="single" w:sz="0" w:space="0" w:color="auto"/>
              <w:right w:val="single" w:sz="0" w:space="0" w:color="auto"/>
            </w:tcBorders>
            <w:vAlign w:val="center"/>
          </w:tcPr>
          <w:p w14:paraId="295B6117" w14:textId="77777777" w:rsidR="00066BD4" w:rsidRDefault="00066BD4"/>
        </w:tc>
        <w:tc>
          <w:tcPr>
            <w:tcW w:w="5100" w:type="dxa"/>
            <w:tcBorders>
              <w:top w:val="single" w:sz="6" w:space="0" w:color="auto"/>
              <w:left w:val="nil"/>
              <w:bottom w:val="single" w:sz="6" w:space="0" w:color="auto"/>
              <w:right w:val="single" w:sz="6" w:space="0" w:color="auto"/>
            </w:tcBorders>
            <w:tcMar>
              <w:left w:w="105" w:type="dxa"/>
              <w:right w:w="105" w:type="dxa"/>
            </w:tcMar>
            <w:vAlign w:val="center"/>
          </w:tcPr>
          <w:p w14:paraId="6CFF1068" w14:textId="0E4F8EB7" w:rsidR="3F5083B4" w:rsidRDefault="3F5083B4" w:rsidP="00C8475D">
            <w:pPr>
              <w:spacing w:line="300" w:lineRule="auto"/>
              <w:ind w:left="105" w:hanging="142"/>
              <w:jc w:val="center"/>
              <w:rPr>
                <w:rFonts w:ascii="Aptos" w:eastAsia="Aptos" w:hAnsi="Aptos" w:cs="Aptos"/>
                <w:color w:val="000000" w:themeColor="text1"/>
              </w:rPr>
            </w:pPr>
            <w:r w:rsidRPr="3F5083B4">
              <w:rPr>
                <w:rFonts w:ascii="Aptos" w:eastAsia="Aptos" w:hAnsi="Aptos" w:cs="Aptos"/>
                <w:color w:val="000000" w:themeColor="text1"/>
              </w:rPr>
              <w:t>New contract commences (indicative)</w:t>
            </w:r>
          </w:p>
        </w:tc>
        <w:tc>
          <w:tcPr>
            <w:tcW w:w="2940" w:type="dxa"/>
            <w:tcBorders>
              <w:top w:val="single" w:sz="6" w:space="0" w:color="000000" w:themeColor="text1"/>
              <w:left w:val="single" w:sz="6" w:space="0" w:color="auto"/>
              <w:bottom w:val="single" w:sz="6" w:space="0" w:color="000000" w:themeColor="text1"/>
              <w:right w:val="single" w:sz="6" w:space="0" w:color="000000" w:themeColor="text1"/>
            </w:tcBorders>
            <w:tcMar>
              <w:left w:w="105" w:type="dxa"/>
              <w:right w:w="105" w:type="dxa"/>
            </w:tcMar>
            <w:vAlign w:val="center"/>
          </w:tcPr>
          <w:p w14:paraId="3E5AD95E" w14:textId="358E8955" w:rsidR="3F5083B4" w:rsidRDefault="3F5083B4" w:rsidP="00C8475D">
            <w:pPr>
              <w:spacing w:after="0" w:line="300" w:lineRule="auto"/>
              <w:ind w:left="105" w:hanging="142"/>
              <w:rPr>
                <w:rFonts w:ascii="Aptos" w:eastAsia="Aptos" w:hAnsi="Aptos" w:cs="Aptos"/>
                <w:color w:val="000000" w:themeColor="text1"/>
              </w:rPr>
            </w:pPr>
            <w:r w:rsidRPr="3F5083B4">
              <w:rPr>
                <w:rFonts w:ascii="Aptos" w:eastAsia="Aptos" w:hAnsi="Aptos" w:cs="Aptos"/>
                <w:color w:val="000000" w:themeColor="text1"/>
              </w:rPr>
              <w:t xml:space="preserve">                     May 2025</w:t>
            </w:r>
          </w:p>
        </w:tc>
      </w:tr>
    </w:tbl>
    <w:p w14:paraId="09562B91" w14:textId="2B63BB3E" w:rsidR="3F5083B4" w:rsidRDefault="3F5083B4" w:rsidP="3F5083B4">
      <w:pPr>
        <w:jc w:val="both"/>
        <w:rPr>
          <w:rFonts w:ascii="Aptos" w:hAnsi="Aptos"/>
          <w:b/>
          <w:bCs/>
          <w:sz w:val="24"/>
          <w:szCs w:val="24"/>
        </w:rPr>
      </w:pPr>
    </w:p>
    <w:p w14:paraId="360BB8A7" w14:textId="77777777" w:rsidR="009D3E15" w:rsidRDefault="009D3E15" w:rsidP="3F5083B4">
      <w:pPr>
        <w:jc w:val="both"/>
        <w:rPr>
          <w:rFonts w:ascii="Aptos" w:hAnsi="Aptos"/>
          <w:b/>
          <w:bCs/>
          <w:sz w:val="24"/>
          <w:szCs w:val="24"/>
        </w:rPr>
      </w:pPr>
    </w:p>
    <w:p w14:paraId="756D620D" w14:textId="2FD04D08" w:rsidR="009D3E15" w:rsidRPr="009D3E15" w:rsidRDefault="009D3E15" w:rsidP="3F5083B4">
      <w:pPr>
        <w:jc w:val="both"/>
        <w:rPr>
          <w:rFonts w:ascii="Aptos" w:hAnsi="Aptos"/>
        </w:rPr>
      </w:pPr>
      <w:r w:rsidRPr="009D3E15">
        <w:rPr>
          <w:rFonts w:ascii="Aptos" w:hAnsi="Aptos"/>
        </w:rPr>
        <w:t xml:space="preserve">Tender documents will be available via the HS1 Procurement Portal as stated in the Procurement timetable above.  To participate in this tender, please ensure you register for an account via the following link </w:t>
      </w:r>
      <w:hyperlink r:id="rId12" w:tgtFrame="_blank" w:history="1">
        <w:r w:rsidRPr="009D3E15">
          <w:rPr>
            <w:rStyle w:val="Hyperlink"/>
            <w:rFonts w:ascii="Aptos" w:hAnsi="Aptos"/>
          </w:rPr>
          <w:t>Supplier registration</w:t>
        </w:r>
      </w:hyperlink>
      <w:r w:rsidRPr="009D3E15">
        <w:rPr>
          <w:rFonts w:ascii="Aptos" w:hAnsi="Aptos"/>
        </w:rPr>
        <w:t> </w:t>
      </w:r>
    </w:p>
    <w:sectPr w:rsidR="009D3E15" w:rsidRPr="009D3E15" w:rsidSect="004F774A">
      <w:headerReference w:type="default" r:id="rId13"/>
      <w:pgSz w:w="11906" w:h="17338"/>
      <w:pgMar w:top="1472" w:right="1274" w:bottom="703" w:left="8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8DC09" w14:textId="77777777" w:rsidR="00804D82" w:rsidRDefault="00804D82" w:rsidP="0073786A">
      <w:pPr>
        <w:spacing w:after="0" w:line="240" w:lineRule="auto"/>
      </w:pPr>
      <w:r>
        <w:separator/>
      </w:r>
    </w:p>
  </w:endnote>
  <w:endnote w:type="continuationSeparator" w:id="0">
    <w:p w14:paraId="53313956" w14:textId="77777777" w:rsidR="00804D82" w:rsidRDefault="00804D82" w:rsidP="0073786A">
      <w:pPr>
        <w:spacing w:after="0" w:line="240" w:lineRule="auto"/>
      </w:pPr>
      <w:r>
        <w:continuationSeparator/>
      </w:r>
    </w:p>
  </w:endnote>
  <w:endnote w:type="continuationNotice" w:id="1">
    <w:p w14:paraId="7734EA26" w14:textId="77777777" w:rsidR="00804D82" w:rsidRDefault="00804D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F3FA4" w14:textId="77777777" w:rsidR="00804D82" w:rsidRDefault="00804D82" w:rsidP="0073786A">
      <w:pPr>
        <w:spacing w:after="0" w:line="240" w:lineRule="auto"/>
      </w:pPr>
      <w:r>
        <w:separator/>
      </w:r>
    </w:p>
  </w:footnote>
  <w:footnote w:type="continuationSeparator" w:id="0">
    <w:p w14:paraId="0AFE8920" w14:textId="77777777" w:rsidR="00804D82" w:rsidRDefault="00804D82" w:rsidP="0073786A">
      <w:pPr>
        <w:spacing w:after="0" w:line="240" w:lineRule="auto"/>
      </w:pPr>
      <w:r>
        <w:continuationSeparator/>
      </w:r>
    </w:p>
  </w:footnote>
  <w:footnote w:type="continuationNotice" w:id="1">
    <w:p w14:paraId="4C27D7EC" w14:textId="77777777" w:rsidR="00804D82" w:rsidRDefault="00804D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4AB1" w14:textId="78CA5765" w:rsidR="00340692" w:rsidRDefault="00340692">
    <w:pPr>
      <w:pStyle w:val="Header"/>
    </w:pPr>
  </w:p>
  <w:p w14:paraId="439CC861" w14:textId="77777777" w:rsidR="005B5BA3" w:rsidRDefault="005B5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5689"/>
    <w:multiLevelType w:val="hybridMultilevel"/>
    <w:tmpl w:val="17C0AA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E72F65"/>
    <w:multiLevelType w:val="hybridMultilevel"/>
    <w:tmpl w:val="50566980"/>
    <w:lvl w:ilvl="0" w:tplc="08090001">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 w15:restartNumberingAfterBreak="0">
    <w:nsid w:val="0B4D45CC"/>
    <w:multiLevelType w:val="hybridMultilevel"/>
    <w:tmpl w:val="BBBA897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362F0"/>
    <w:multiLevelType w:val="hybridMultilevel"/>
    <w:tmpl w:val="9946995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11034F50"/>
    <w:multiLevelType w:val="hybridMultilevel"/>
    <w:tmpl w:val="F17829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EE01B9"/>
    <w:multiLevelType w:val="hybridMultilevel"/>
    <w:tmpl w:val="6292EB96"/>
    <w:lvl w:ilvl="0" w:tplc="FFFFFFFF">
      <w:start w:val="1"/>
      <w:numFmt w:val="decimal"/>
      <w:lvlText w:val="%1."/>
      <w:lvlJc w:val="left"/>
      <w:pPr>
        <w:ind w:left="720" w:hanging="360"/>
      </w:pPr>
    </w:lvl>
    <w:lvl w:ilvl="1" w:tplc="5B9608E6">
      <w:start w:val="1"/>
      <w:numFmt w:val="bullet"/>
      <w:lvlText w:val="o"/>
      <w:lvlJc w:val="left"/>
      <w:pPr>
        <w:ind w:left="1440" w:hanging="360"/>
      </w:pPr>
      <w:rPr>
        <w:rFonts w:ascii="Courier New" w:hAnsi="Courier New" w:hint="default"/>
      </w:rPr>
    </w:lvl>
    <w:lvl w:ilvl="2" w:tplc="C276C946">
      <w:start w:val="1"/>
      <w:numFmt w:val="bullet"/>
      <w:lvlText w:val=""/>
      <w:lvlJc w:val="left"/>
      <w:pPr>
        <w:ind w:left="2160" w:hanging="360"/>
      </w:pPr>
      <w:rPr>
        <w:rFonts w:ascii="Wingdings" w:hAnsi="Wingdings" w:hint="default"/>
      </w:rPr>
    </w:lvl>
    <w:lvl w:ilvl="3" w:tplc="1E3E7B46">
      <w:start w:val="1"/>
      <w:numFmt w:val="bullet"/>
      <w:lvlText w:val=""/>
      <w:lvlJc w:val="left"/>
      <w:pPr>
        <w:ind w:left="2880" w:hanging="360"/>
      </w:pPr>
      <w:rPr>
        <w:rFonts w:ascii="Symbol" w:hAnsi="Symbol" w:hint="default"/>
      </w:rPr>
    </w:lvl>
    <w:lvl w:ilvl="4" w:tplc="9F284002">
      <w:start w:val="1"/>
      <w:numFmt w:val="bullet"/>
      <w:lvlText w:val="o"/>
      <w:lvlJc w:val="left"/>
      <w:pPr>
        <w:ind w:left="3600" w:hanging="360"/>
      </w:pPr>
      <w:rPr>
        <w:rFonts w:ascii="Courier New" w:hAnsi="Courier New" w:hint="default"/>
      </w:rPr>
    </w:lvl>
    <w:lvl w:ilvl="5" w:tplc="E070D7B2">
      <w:start w:val="1"/>
      <w:numFmt w:val="bullet"/>
      <w:lvlText w:val=""/>
      <w:lvlJc w:val="left"/>
      <w:pPr>
        <w:ind w:left="4320" w:hanging="360"/>
      </w:pPr>
      <w:rPr>
        <w:rFonts w:ascii="Wingdings" w:hAnsi="Wingdings" w:hint="default"/>
      </w:rPr>
    </w:lvl>
    <w:lvl w:ilvl="6" w:tplc="5D54DF40">
      <w:start w:val="1"/>
      <w:numFmt w:val="bullet"/>
      <w:lvlText w:val=""/>
      <w:lvlJc w:val="left"/>
      <w:pPr>
        <w:ind w:left="5040" w:hanging="360"/>
      </w:pPr>
      <w:rPr>
        <w:rFonts w:ascii="Symbol" w:hAnsi="Symbol" w:hint="default"/>
      </w:rPr>
    </w:lvl>
    <w:lvl w:ilvl="7" w:tplc="235CC8E8">
      <w:start w:val="1"/>
      <w:numFmt w:val="bullet"/>
      <w:lvlText w:val="o"/>
      <w:lvlJc w:val="left"/>
      <w:pPr>
        <w:ind w:left="5760" w:hanging="360"/>
      </w:pPr>
      <w:rPr>
        <w:rFonts w:ascii="Courier New" w:hAnsi="Courier New" w:hint="default"/>
      </w:rPr>
    </w:lvl>
    <w:lvl w:ilvl="8" w:tplc="F8A6C090">
      <w:start w:val="1"/>
      <w:numFmt w:val="bullet"/>
      <w:lvlText w:val=""/>
      <w:lvlJc w:val="left"/>
      <w:pPr>
        <w:ind w:left="6480" w:hanging="360"/>
      </w:pPr>
      <w:rPr>
        <w:rFonts w:ascii="Wingdings" w:hAnsi="Wingdings" w:hint="default"/>
      </w:rPr>
    </w:lvl>
  </w:abstractNum>
  <w:abstractNum w:abstractNumId="6" w15:restartNumberingAfterBreak="0">
    <w:nsid w:val="13E56194"/>
    <w:multiLevelType w:val="hybridMultilevel"/>
    <w:tmpl w:val="57EC6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5D6171"/>
    <w:multiLevelType w:val="hybridMultilevel"/>
    <w:tmpl w:val="F850D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6A0481"/>
    <w:multiLevelType w:val="hybridMultilevel"/>
    <w:tmpl w:val="DBA26B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6A3EB4"/>
    <w:multiLevelType w:val="hybridMultilevel"/>
    <w:tmpl w:val="43B04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057BC2"/>
    <w:multiLevelType w:val="hybridMultilevel"/>
    <w:tmpl w:val="09A41C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946703A"/>
    <w:multiLevelType w:val="hybridMultilevel"/>
    <w:tmpl w:val="63FC25A8"/>
    <w:lvl w:ilvl="0" w:tplc="85324520">
      <w:numFmt w:val="bullet"/>
      <w:lvlText w:val=""/>
      <w:lvlJc w:val="left"/>
      <w:pPr>
        <w:ind w:left="720" w:hanging="360"/>
      </w:pPr>
      <w:rPr>
        <w:rFonts w:ascii="Wingdings" w:eastAsiaTheme="minorHAnsi" w:hAnsi="Wingdings" w:cstheme="minorBidi" w:hint="default"/>
      </w:rPr>
    </w:lvl>
    <w:lvl w:ilvl="1" w:tplc="85324520">
      <w:numFmt w:val="bullet"/>
      <w:lvlText w:val=""/>
      <w:lvlJc w:val="left"/>
      <w:pPr>
        <w:ind w:left="1440" w:hanging="360"/>
      </w:pPr>
      <w:rPr>
        <w:rFonts w:ascii="Wingdings" w:eastAsiaTheme="minorHAnsi" w:hAnsi="Wingding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B63261"/>
    <w:multiLevelType w:val="hybridMultilevel"/>
    <w:tmpl w:val="E0189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984460"/>
    <w:multiLevelType w:val="hybridMultilevel"/>
    <w:tmpl w:val="4CA23A8C"/>
    <w:lvl w:ilvl="0" w:tplc="E886D9FE">
      <w:start w:val="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8248D3"/>
    <w:multiLevelType w:val="hybridMultilevel"/>
    <w:tmpl w:val="12F22F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544897"/>
    <w:multiLevelType w:val="hybridMultilevel"/>
    <w:tmpl w:val="BFC2F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3908DF"/>
    <w:multiLevelType w:val="hybridMultilevel"/>
    <w:tmpl w:val="17962C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53536828"/>
    <w:multiLevelType w:val="hybridMultilevel"/>
    <w:tmpl w:val="1428AD9E"/>
    <w:lvl w:ilvl="0" w:tplc="EDB84CE4">
      <w:numFmt w:val="bullet"/>
      <w:lvlText w:val="-"/>
      <w:lvlJc w:val="left"/>
      <w:pPr>
        <w:ind w:left="717" w:hanging="360"/>
      </w:pPr>
      <w:rPr>
        <w:rFonts w:ascii="Aptos" w:eastAsiaTheme="minorHAnsi" w:hAnsi="Aptos" w:cstheme="minorHAns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8" w15:restartNumberingAfterBreak="0">
    <w:nsid w:val="5884072F"/>
    <w:multiLevelType w:val="hybridMultilevel"/>
    <w:tmpl w:val="7BB8B6EA"/>
    <w:lvl w:ilvl="0" w:tplc="08090001">
      <w:start w:val="1"/>
      <w:numFmt w:val="bullet"/>
      <w:lvlText w:val=""/>
      <w:lvlJc w:val="left"/>
      <w:pPr>
        <w:ind w:left="1080" w:hanging="360"/>
      </w:pPr>
      <w:rPr>
        <w:rFonts w:ascii="Symbol" w:hAnsi="Symbol" w:hint="default"/>
      </w:rPr>
    </w:lvl>
    <w:lvl w:ilvl="1" w:tplc="AFEC92D2">
      <w:numFmt w:val="bullet"/>
      <w:lvlText w:val="•"/>
      <w:lvlJc w:val="left"/>
      <w:pPr>
        <w:ind w:left="2160" w:hanging="720"/>
      </w:pPr>
      <w:rPr>
        <w:rFonts w:ascii="Aptos" w:eastAsiaTheme="minorHAnsi" w:hAnsi="Aptos"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9457508"/>
    <w:multiLevelType w:val="hybridMultilevel"/>
    <w:tmpl w:val="F26A51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637960"/>
    <w:multiLevelType w:val="hybridMultilevel"/>
    <w:tmpl w:val="776CFC46"/>
    <w:lvl w:ilvl="0" w:tplc="E84097A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C685934"/>
    <w:multiLevelType w:val="hybridMultilevel"/>
    <w:tmpl w:val="EEC46C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E2F79A3"/>
    <w:multiLevelType w:val="hybridMultilevel"/>
    <w:tmpl w:val="7B8AE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AA5082"/>
    <w:multiLevelType w:val="hybridMultilevel"/>
    <w:tmpl w:val="A7EE0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D1767AA"/>
    <w:multiLevelType w:val="hybridMultilevel"/>
    <w:tmpl w:val="741A7A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2962BD2"/>
    <w:multiLevelType w:val="hybridMultilevel"/>
    <w:tmpl w:val="5C5A3CD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C36558"/>
    <w:multiLevelType w:val="hybridMultilevel"/>
    <w:tmpl w:val="7EA88AE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num w:numId="1" w16cid:durableId="1483233084">
    <w:abstractNumId w:val="15"/>
  </w:num>
  <w:num w:numId="2" w16cid:durableId="756095178">
    <w:abstractNumId w:val="11"/>
  </w:num>
  <w:num w:numId="3" w16cid:durableId="1359505854">
    <w:abstractNumId w:val="26"/>
  </w:num>
  <w:num w:numId="4" w16cid:durableId="1232236492">
    <w:abstractNumId w:val="12"/>
  </w:num>
  <w:num w:numId="5" w16cid:durableId="302080320">
    <w:abstractNumId w:val="3"/>
  </w:num>
  <w:num w:numId="6" w16cid:durableId="776752962">
    <w:abstractNumId w:val="16"/>
  </w:num>
  <w:num w:numId="7" w16cid:durableId="1775977222">
    <w:abstractNumId w:val="17"/>
  </w:num>
  <w:num w:numId="8" w16cid:durableId="1625576037">
    <w:abstractNumId w:val="1"/>
  </w:num>
  <w:num w:numId="9" w16cid:durableId="2110929878">
    <w:abstractNumId w:val="19"/>
  </w:num>
  <w:num w:numId="10" w16cid:durableId="73401710">
    <w:abstractNumId w:val="2"/>
  </w:num>
  <w:num w:numId="11" w16cid:durableId="2143619752">
    <w:abstractNumId w:val="25"/>
  </w:num>
  <w:num w:numId="12" w16cid:durableId="1776898921">
    <w:abstractNumId w:val="13"/>
  </w:num>
  <w:num w:numId="13" w16cid:durableId="1376270761">
    <w:abstractNumId w:val="9"/>
  </w:num>
  <w:num w:numId="14" w16cid:durableId="1937903860">
    <w:abstractNumId w:val="8"/>
  </w:num>
  <w:num w:numId="15" w16cid:durableId="683827551">
    <w:abstractNumId w:val="14"/>
  </w:num>
  <w:num w:numId="16" w16cid:durableId="299725237">
    <w:abstractNumId w:val="0"/>
  </w:num>
  <w:num w:numId="17" w16cid:durableId="1829318891">
    <w:abstractNumId w:val="21"/>
  </w:num>
  <w:num w:numId="18" w16cid:durableId="1580094424">
    <w:abstractNumId w:val="18"/>
  </w:num>
  <w:num w:numId="19" w16cid:durableId="13920288">
    <w:abstractNumId w:val="24"/>
  </w:num>
  <w:num w:numId="20" w16cid:durableId="183058769">
    <w:abstractNumId w:val="4"/>
  </w:num>
  <w:num w:numId="21" w16cid:durableId="1528833073">
    <w:abstractNumId w:val="6"/>
  </w:num>
  <w:num w:numId="22" w16cid:durableId="1132677430">
    <w:abstractNumId w:val="23"/>
  </w:num>
  <w:num w:numId="23" w16cid:durableId="275448175">
    <w:abstractNumId w:val="10"/>
  </w:num>
  <w:num w:numId="24" w16cid:durableId="1836065622">
    <w:abstractNumId w:val="5"/>
  </w:num>
  <w:num w:numId="25" w16cid:durableId="945309996">
    <w:abstractNumId w:val="7"/>
  </w:num>
  <w:num w:numId="26" w16cid:durableId="827869111">
    <w:abstractNumId w:val="20"/>
  </w:num>
  <w:num w:numId="27" w16cid:durableId="5217468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6A"/>
    <w:rsid w:val="000012B4"/>
    <w:rsid w:val="00003A8A"/>
    <w:rsid w:val="0000755B"/>
    <w:rsid w:val="000145F7"/>
    <w:rsid w:val="000245AF"/>
    <w:rsid w:val="00034DD7"/>
    <w:rsid w:val="00035B42"/>
    <w:rsid w:val="00040EAA"/>
    <w:rsid w:val="0004202B"/>
    <w:rsid w:val="0005158D"/>
    <w:rsid w:val="00053FB0"/>
    <w:rsid w:val="00055243"/>
    <w:rsid w:val="00055707"/>
    <w:rsid w:val="000621E3"/>
    <w:rsid w:val="00064D35"/>
    <w:rsid w:val="00066BD4"/>
    <w:rsid w:val="000718F9"/>
    <w:rsid w:val="00086513"/>
    <w:rsid w:val="0008789E"/>
    <w:rsid w:val="00095516"/>
    <w:rsid w:val="000A3927"/>
    <w:rsid w:val="000A40B3"/>
    <w:rsid w:val="000B05AE"/>
    <w:rsid w:val="000B21E5"/>
    <w:rsid w:val="000C55F1"/>
    <w:rsid w:val="000D38FB"/>
    <w:rsid w:val="000D7254"/>
    <w:rsid w:val="000D739D"/>
    <w:rsid w:val="000E07C0"/>
    <w:rsid w:val="000E1350"/>
    <w:rsid w:val="000E573D"/>
    <w:rsid w:val="000E70C0"/>
    <w:rsid w:val="00106928"/>
    <w:rsid w:val="00113147"/>
    <w:rsid w:val="0011711E"/>
    <w:rsid w:val="00117BD8"/>
    <w:rsid w:val="00124763"/>
    <w:rsid w:val="00124894"/>
    <w:rsid w:val="0012529E"/>
    <w:rsid w:val="00136030"/>
    <w:rsid w:val="001371CD"/>
    <w:rsid w:val="00140327"/>
    <w:rsid w:val="00141FD4"/>
    <w:rsid w:val="00150E67"/>
    <w:rsid w:val="00153C99"/>
    <w:rsid w:val="00156809"/>
    <w:rsid w:val="00160A8B"/>
    <w:rsid w:val="00175534"/>
    <w:rsid w:val="001871E7"/>
    <w:rsid w:val="00191076"/>
    <w:rsid w:val="00192B7F"/>
    <w:rsid w:val="00192F34"/>
    <w:rsid w:val="00192F4F"/>
    <w:rsid w:val="001B57FE"/>
    <w:rsid w:val="001B6E2F"/>
    <w:rsid w:val="001C3ECB"/>
    <w:rsid w:val="001D0153"/>
    <w:rsid w:val="001D0C6C"/>
    <w:rsid w:val="001D1F4F"/>
    <w:rsid w:val="001D2F02"/>
    <w:rsid w:val="001D7018"/>
    <w:rsid w:val="001D7A6C"/>
    <w:rsid w:val="001E15A7"/>
    <w:rsid w:val="001F2A4D"/>
    <w:rsid w:val="00204D47"/>
    <w:rsid w:val="002117A0"/>
    <w:rsid w:val="00232E60"/>
    <w:rsid w:val="002332C4"/>
    <w:rsid w:val="00237B9A"/>
    <w:rsid w:val="002463B2"/>
    <w:rsid w:val="00252E03"/>
    <w:rsid w:val="00255A0B"/>
    <w:rsid w:val="00256C70"/>
    <w:rsid w:val="002622EC"/>
    <w:rsid w:val="0026471E"/>
    <w:rsid w:val="0026595A"/>
    <w:rsid w:val="0027093D"/>
    <w:rsid w:val="00272A3A"/>
    <w:rsid w:val="0027439D"/>
    <w:rsid w:val="00284DB5"/>
    <w:rsid w:val="002851F7"/>
    <w:rsid w:val="00285485"/>
    <w:rsid w:val="00286F45"/>
    <w:rsid w:val="00290B0F"/>
    <w:rsid w:val="002935C9"/>
    <w:rsid w:val="00293810"/>
    <w:rsid w:val="002938E6"/>
    <w:rsid w:val="002A4922"/>
    <w:rsid w:val="002A4D8E"/>
    <w:rsid w:val="002A7AB3"/>
    <w:rsid w:val="002B0CEE"/>
    <w:rsid w:val="002B16F6"/>
    <w:rsid w:val="002B76F3"/>
    <w:rsid w:val="002C2D0F"/>
    <w:rsid w:val="002C51D7"/>
    <w:rsid w:val="002C79CD"/>
    <w:rsid w:val="002D1776"/>
    <w:rsid w:val="002D2791"/>
    <w:rsid w:val="002D5371"/>
    <w:rsid w:val="002D5C25"/>
    <w:rsid w:val="002E5A30"/>
    <w:rsid w:val="002F4B80"/>
    <w:rsid w:val="003059EA"/>
    <w:rsid w:val="00307B39"/>
    <w:rsid w:val="00312707"/>
    <w:rsid w:val="003166A2"/>
    <w:rsid w:val="00325815"/>
    <w:rsid w:val="0032702B"/>
    <w:rsid w:val="00332616"/>
    <w:rsid w:val="0033357E"/>
    <w:rsid w:val="00340692"/>
    <w:rsid w:val="00343481"/>
    <w:rsid w:val="0034586C"/>
    <w:rsid w:val="003461F9"/>
    <w:rsid w:val="00346CA0"/>
    <w:rsid w:val="00354449"/>
    <w:rsid w:val="0035483D"/>
    <w:rsid w:val="00356EDE"/>
    <w:rsid w:val="00360159"/>
    <w:rsid w:val="00371772"/>
    <w:rsid w:val="00371B73"/>
    <w:rsid w:val="00373356"/>
    <w:rsid w:val="00374F10"/>
    <w:rsid w:val="00383C6B"/>
    <w:rsid w:val="00386254"/>
    <w:rsid w:val="00391681"/>
    <w:rsid w:val="00396A41"/>
    <w:rsid w:val="003970ED"/>
    <w:rsid w:val="003B0183"/>
    <w:rsid w:val="003B3D02"/>
    <w:rsid w:val="003B5B1B"/>
    <w:rsid w:val="003B7572"/>
    <w:rsid w:val="003C543C"/>
    <w:rsid w:val="003C5BAA"/>
    <w:rsid w:val="003D222D"/>
    <w:rsid w:val="003D32B0"/>
    <w:rsid w:val="003E4849"/>
    <w:rsid w:val="003E4BE1"/>
    <w:rsid w:val="00406BE3"/>
    <w:rsid w:val="00412D91"/>
    <w:rsid w:val="0041517E"/>
    <w:rsid w:val="004169F7"/>
    <w:rsid w:val="00422ABC"/>
    <w:rsid w:val="004256A4"/>
    <w:rsid w:val="00425CA3"/>
    <w:rsid w:val="00441925"/>
    <w:rsid w:val="004439B8"/>
    <w:rsid w:val="004479F9"/>
    <w:rsid w:val="00454D2D"/>
    <w:rsid w:val="00457562"/>
    <w:rsid w:val="00467114"/>
    <w:rsid w:val="00472C67"/>
    <w:rsid w:val="00476F38"/>
    <w:rsid w:val="00481511"/>
    <w:rsid w:val="004837DB"/>
    <w:rsid w:val="00484B5D"/>
    <w:rsid w:val="004862FF"/>
    <w:rsid w:val="0049131F"/>
    <w:rsid w:val="00494CAE"/>
    <w:rsid w:val="004959B5"/>
    <w:rsid w:val="004A04BA"/>
    <w:rsid w:val="004B07BA"/>
    <w:rsid w:val="004B3113"/>
    <w:rsid w:val="004B440C"/>
    <w:rsid w:val="004C145A"/>
    <w:rsid w:val="004C55E4"/>
    <w:rsid w:val="004D2E5C"/>
    <w:rsid w:val="004E7811"/>
    <w:rsid w:val="004F259A"/>
    <w:rsid w:val="004F6F2F"/>
    <w:rsid w:val="004F774A"/>
    <w:rsid w:val="0050669D"/>
    <w:rsid w:val="0051259E"/>
    <w:rsid w:val="00516C7F"/>
    <w:rsid w:val="00520759"/>
    <w:rsid w:val="005309A9"/>
    <w:rsid w:val="005343AF"/>
    <w:rsid w:val="00535BB8"/>
    <w:rsid w:val="00542794"/>
    <w:rsid w:val="0055179D"/>
    <w:rsid w:val="00556803"/>
    <w:rsid w:val="00563189"/>
    <w:rsid w:val="00574AAD"/>
    <w:rsid w:val="00581092"/>
    <w:rsid w:val="005839C2"/>
    <w:rsid w:val="00583DCB"/>
    <w:rsid w:val="005846DA"/>
    <w:rsid w:val="00585173"/>
    <w:rsid w:val="00587CEA"/>
    <w:rsid w:val="005920EF"/>
    <w:rsid w:val="0059406C"/>
    <w:rsid w:val="005A5339"/>
    <w:rsid w:val="005B44FF"/>
    <w:rsid w:val="005B4F32"/>
    <w:rsid w:val="005B5BA3"/>
    <w:rsid w:val="005C04C8"/>
    <w:rsid w:val="005C43D7"/>
    <w:rsid w:val="005C66B2"/>
    <w:rsid w:val="005C66BE"/>
    <w:rsid w:val="005C6E0B"/>
    <w:rsid w:val="005D5752"/>
    <w:rsid w:val="005E1602"/>
    <w:rsid w:val="005E23DE"/>
    <w:rsid w:val="005E6986"/>
    <w:rsid w:val="005F1791"/>
    <w:rsid w:val="005F2E95"/>
    <w:rsid w:val="005F43C8"/>
    <w:rsid w:val="006030DB"/>
    <w:rsid w:val="00607901"/>
    <w:rsid w:val="00607D07"/>
    <w:rsid w:val="00607FDB"/>
    <w:rsid w:val="006108CC"/>
    <w:rsid w:val="006114A5"/>
    <w:rsid w:val="00615980"/>
    <w:rsid w:val="00623888"/>
    <w:rsid w:val="006311B6"/>
    <w:rsid w:val="00636202"/>
    <w:rsid w:val="00644867"/>
    <w:rsid w:val="00655E2F"/>
    <w:rsid w:val="00656453"/>
    <w:rsid w:val="0066099D"/>
    <w:rsid w:val="00661405"/>
    <w:rsid w:val="006670E1"/>
    <w:rsid w:val="00671328"/>
    <w:rsid w:val="006876A0"/>
    <w:rsid w:val="006A25DF"/>
    <w:rsid w:val="006A3915"/>
    <w:rsid w:val="006A730A"/>
    <w:rsid w:val="006A7541"/>
    <w:rsid w:val="006B03EC"/>
    <w:rsid w:val="006B09A2"/>
    <w:rsid w:val="006B1305"/>
    <w:rsid w:val="006C676E"/>
    <w:rsid w:val="006D7D59"/>
    <w:rsid w:val="006E0D69"/>
    <w:rsid w:val="006E136F"/>
    <w:rsid w:val="006E2A60"/>
    <w:rsid w:val="006E58EA"/>
    <w:rsid w:val="006E5B05"/>
    <w:rsid w:val="006F00EE"/>
    <w:rsid w:val="006F7791"/>
    <w:rsid w:val="00702170"/>
    <w:rsid w:val="007119E5"/>
    <w:rsid w:val="007132E1"/>
    <w:rsid w:val="00726506"/>
    <w:rsid w:val="00736E5E"/>
    <w:rsid w:val="0073786A"/>
    <w:rsid w:val="00743412"/>
    <w:rsid w:val="00756260"/>
    <w:rsid w:val="00756412"/>
    <w:rsid w:val="00780617"/>
    <w:rsid w:val="00783515"/>
    <w:rsid w:val="00784FB5"/>
    <w:rsid w:val="007D078D"/>
    <w:rsid w:val="007D237F"/>
    <w:rsid w:val="007D582E"/>
    <w:rsid w:val="007D5E9F"/>
    <w:rsid w:val="007E279A"/>
    <w:rsid w:val="007E3A3C"/>
    <w:rsid w:val="00801D9F"/>
    <w:rsid w:val="00802367"/>
    <w:rsid w:val="008046CE"/>
    <w:rsid w:val="00804B4D"/>
    <w:rsid w:val="00804D82"/>
    <w:rsid w:val="00805660"/>
    <w:rsid w:val="00805DB3"/>
    <w:rsid w:val="00806D6B"/>
    <w:rsid w:val="00810A44"/>
    <w:rsid w:val="0081375E"/>
    <w:rsid w:val="008156EA"/>
    <w:rsid w:val="00823ABD"/>
    <w:rsid w:val="0082689E"/>
    <w:rsid w:val="00827C45"/>
    <w:rsid w:val="00843A26"/>
    <w:rsid w:val="00843F0F"/>
    <w:rsid w:val="008508D7"/>
    <w:rsid w:val="00851E25"/>
    <w:rsid w:val="00851E54"/>
    <w:rsid w:val="00852D1C"/>
    <w:rsid w:val="00853BD2"/>
    <w:rsid w:val="00855E39"/>
    <w:rsid w:val="00856F86"/>
    <w:rsid w:val="00857041"/>
    <w:rsid w:val="008571C9"/>
    <w:rsid w:val="00863188"/>
    <w:rsid w:val="00863492"/>
    <w:rsid w:val="00863770"/>
    <w:rsid w:val="00876BFA"/>
    <w:rsid w:val="00881091"/>
    <w:rsid w:val="008874B4"/>
    <w:rsid w:val="00891699"/>
    <w:rsid w:val="0089687B"/>
    <w:rsid w:val="008A3417"/>
    <w:rsid w:val="008A38E3"/>
    <w:rsid w:val="008A3903"/>
    <w:rsid w:val="008A4300"/>
    <w:rsid w:val="008B1F8D"/>
    <w:rsid w:val="008B5887"/>
    <w:rsid w:val="008C0087"/>
    <w:rsid w:val="008C6A95"/>
    <w:rsid w:val="008C6C16"/>
    <w:rsid w:val="008D2689"/>
    <w:rsid w:val="008D6107"/>
    <w:rsid w:val="008D7B79"/>
    <w:rsid w:val="008E4AF7"/>
    <w:rsid w:val="008E539F"/>
    <w:rsid w:val="008E7016"/>
    <w:rsid w:val="00900FDF"/>
    <w:rsid w:val="00903ED7"/>
    <w:rsid w:val="009048F4"/>
    <w:rsid w:val="00914566"/>
    <w:rsid w:val="00917557"/>
    <w:rsid w:val="00917996"/>
    <w:rsid w:val="00922D57"/>
    <w:rsid w:val="00925235"/>
    <w:rsid w:val="00927F4F"/>
    <w:rsid w:val="00936FEA"/>
    <w:rsid w:val="00937393"/>
    <w:rsid w:val="00941DC9"/>
    <w:rsid w:val="00943F0A"/>
    <w:rsid w:val="009479BE"/>
    <w:rsid w:val="0095263C"/>
    <w:rsid w:val="00955AE2"/>
    <w:rsid w:val="00964BCA"/>
    <w:rsid w:val="009676B2"/>
    <w:rsid w:val="00976737"/>
    <w:rsid w:val="00987B4E"/>
    <w:rsid w:val="00993012"/>
    <w:rsid w:val="00993597"/>
    <w:rsid w:val="00993C8B"/>
    <w:rsid w:val="009A722C"/>
    <w:rsid w:val="009A7D5D"/>
    <w:rsid w:val="009B05BD"/>
    <w:rsid w:val="009B2694"/>
    <w:rsid w:val="009B38BC"/>
    <w:rsid w:val="009B651B"/>
    <w:rsid w:val="009B750D"/>
    <w:rsid w:val="009C5D94"/>
    <w:rsid w:val="009D18AF"/>
    <w:rsid w:val="009D1CA3"/>
    <w:rsid w:val="009D3E15"/>
    <w:rsid w:val="009D5D46"/>
    <w:rsid w:val="009D7BC3"/>
    <w:rsid w:val="009E6CF5"/>
    <w:rsid w:val="009E7C15"/>
    <w:rsid w:val="009F0389"/>
    <w:rsid w:val="009F2027"/>
    <w:rsid w:val="009F2278"/>
    <w:rsid w:val="009F5D02"/>
    <w:rsid w:val="009F7B7B"/>
    <w:rsid w:val="00A04621"/>
    <w:rsid w:val="00A05900"/>
    <w:rsid w:val="00A1020F"/>
    <w:rsid w:val="00A11D2B"/>
    <w:rsid w:val="00A16DF5"/>
    <w:rsid w:val="00A205C0"/>
    <w:rsid w:val="00A21EE6"/>
    <w:rsid w:val="00A24453"/>
    <w:rsid w:val="00A26079"/>
    <w:rsid w:val="00A2771D"/>
    <w:rsid w:val="00A352DF"/>
    <w:rsid w:val="00A35AF5"/>
    <w:rsid w:val="00A42687"/>
    <w:rsid w:val="00A53D80"/>
    <w:rsid w:val="00A53EA5"/>
    <w:rsid w:val="00A6401F"/>
    <w:rsid w:val="00A65D33"/>
    <w:rsid w:val="00A7189E"/>
    <w:rsid w:val="00A76983"/>
    <w:rsid w:val="00A816E9"/>
    <w:rsid w:val="00A86E66"/>
    <w:rsid w:val="00A9509E"/>
    <w:rsid w:val="00AA22C3"/>
    <w:rsid w:val="00AB2742"/>
    <w:rsid w:val="00AB37BC"/>
    <w:rsid w:val="00AB4EF4"/>
    <w:rsid w:val="00AB6E0D"/>
    <w:rsid w:val="00AC0F2F"/>
    <w:rsid w:val="00AC308E"/>
    <w:rsid w:val="00AC485B"/>
    <w:rsid w:val="00AC519B"/>
    <w:rsid w:val="00AD270D"/>
    <w:rsid w:val="00AD3C69"/>
    <w:rsid w:val="00AE1DBD"/>
    <w:rsid w:val="00AE2415"/>
    <w:rsid w:val="00AE3D8F"/>
    <w:rsid w:val="00AE50E5"/>
    <w:rsid w:val="00AF03D5"/>
    <w:rsid w:val="00AF0EA8"/>
    <w:rsid w:val="00AF4517"/>
    <w:rsid w:val="00AF62C5"/>
    <w:rsid w:val="00AF6488"/>
    <w:rsid w:val="00AF757D"/>
    <w:rsid w:val="00AF7DF4"/>
    <w:rsid w:val="00B10718"/>
    <w:rsid w:val="00B140F3"/>
    <w:rsid w:val="00B17E6E"/>
    <w:rsid w:val="00B20CE7"/>
    <w:rsid w:val="00B254F9"/>
    <w:rsid w:val="00B2687D"/>
    <w:rsid w:val="00B27640"/>
    <w:rsid w:val="00B31B11"/>
    <w:rsid w:val="00B37492"/>
    <w:rsid w:val="00B44323"/>
    <w:rsid w:val="00B443BA"/>
    <w:rsid w:val="00B52DC9"/>
    <w:rsid w:val="00B61FF3"/>
    <w:rsid w:val="00B65912"/>
    <w:rsid w:val="00B66326"/>
    <w:rsid w:val="00B67070"/>
    <w:rsid w:val="00B844EE"/>
    <w:rsid w:val="00B84FA8"/>
    <w:rsid w:val="00B8519A"/>
    <w:rsid w:val="00B871E3"/>
    <w:rsid w:val="00B915F6"/>
    <w:rsid w:val="00B96A22"/>
    <w:rsid w:val="00BA3D19"/>
    <w:rsid w:val="00BA776F"/>
    <w:rsid w:val="00BB5907"/>
    <w:rsid w:val="00BC1104"/>
    <w:rsid w:val="00BC1C22"/>
    <w:rsid w:val="00BC34F4"/>
    <w:rsid w:val="00BC6A27"/>
    <w:rsid w:val="00BD67AF"/>
    <w:rsid w:val="00BD78E8"/>
    <w:rsid w:val="00BE37D0"/>
    <w:rsid w:val="00BF278D"/>
    <w:rsid w:val="00BF385B"/>
    <w:rsid w:val="00C06FA0"/>
    <w:rsid w:val="00C12BF5"/>
    <w:rsid w:val="00C14C33"/>
    <w:rsid w:val="00C15E4E"/>
    <w:rsid w:val="00C17EBC"/>
    <w:rsid w:val="00C20D90"/>
    <w:rsid w:val="00C407CD"/>
    <w:rsid w:val="00C43179"/>
    <w:rsid w:val="00C43B4E"/>
    <w:rsid w:val="00C53B9D"/>
    <w:rsid w:val="00C70ABA"/>
    <w:rsid w:val="00C7380F"/>
    <w:rsid w:val="00C75444"/>
    <w:rsid w:val="00C8475D"/>
    <w:rsid w:val="00C97325"/>
    <w:rsid w:val="00CA3A22"/>
    <w:rsid w:val="00CA3D40"/>
    <w:rsid w:val="00CB1ACB"/>
    <w:rsid w:val="00CC19D8"/>
    <w:rsid w:val="00CC2130"/>
    <w:rsid w:val="00CD1719"/>
    <w:rsid w:val="00CD3702"/>
    <w:rsid w:val="00CD64AF"/>
    <w:rsid w:val="00CD75C4"/>
    <w:rsid w:val="00CF5847"/>
    <w:rsid w:val="00CF5C28"/>
    <w:rsid w:val="00CF64DF"/>
    <w:rsid w:val="00D04B5E"/>
    <w:rsid w:val="00D06634"/>
    <w:rsid w:val="00D06C7D"/>
    <w:rsid w:val="00D1062F"/>
    <w:rsid w:val="00D1704A"/>
    <w:rsid w:val="00D22288"/>
    <w:rsid w:val="00D245AD"/>
    <w:rsid w:val="00D36F65"/>
    <w:rsid w:val="00D4073F"/>
    <w:rsid w:val="00D40B19"/>
    <w:rsid w:val="00D4458F"/>
    <w:rsid w:val="00D46C55"/>
    <w:rsid w:val="00D5475B"/>
    <w:rsid w:val="00D577B4"/>
    <w:rsid w:val="00D64B30"/>
    <w:rsid w:val="00D6753F"/>
    <w:rsid w:val="00D72663"/>
    <w:rsid w:val="00D85DB6"/>
    <w:rsid w:val="00D90873"/>
    <w:rsid w:val="00D92A00"/>
    <w:rsid w:val="00D944DE"/>
    <w:rsid w:val="00D95BBD"/>
    <w:rsid w:val="00D960ED"/>
    <w:rsid w:val="00DA39B6"/>
    <w:rsid w:val="00DA6C52"/>
    <w:rsid w:val="00DB1443"/>
    <w:rsid w:val="00DB4B74"/>
    <w:rsid w:val="00DC3752"/>
    <w:rsid w:val="00DC5B54"/>
    <w:rsid w:val="00DD47F3"/>
    <w:rsid w:val="00DD5049"/>
    <w:rsid w:val="00DE0591"/>
    <w:rsid w:val="00DE3E02"/>
    <w:rsid w:val="00DE4815"/>
    <w:rsid w:val="00DE6646"/>
    <w:rsid w:val="00DF4B99"/>
    <w:rsid w:val="00E0222F"/>
    <w:rsid w:val="00E055F2"/>
    <w:rsid w:val="00E07BE8"/>
    <w:rsid w:val="00E1305F"/>
    <w:rsid w:val="00E13B0E"/>
    <w:rsid w:val="00E1567F"/>
    <w:rsid w:val="00E159A7"/>
    <w:rsid w:val="00E15BD3"/>
    <w:rsid w:val="00E16F3E"/>
    <w:rsid w:val="00E177B4"/>
    <w:rsid w:val="00E2736F"/>
    <w:rsid w:val="00E3742F"/>
    <w:rsid w:val="00E4013F"/>
    <w:rsid w:val="00E4405B"/>
    <w:rsid w:val="00E478C3"/>
    <w:rsid w:val="00E51532"/>
    <w:rsid w:val="00E519B1"/>
    <w:rsid w:val="00E55D83"/>
    <w:rsid w:val="00E60A54"/>
    <w:rsid w:val="00E615F7"/>
    <w:rsid w:val="00E73AB7"/>
    <w:rsid w:val="00E8231C"/>
    <w:rsid w:val="00E91F87"/>
    <w:rsid w:val="00E9737B"/>
    <w:rsid w:val="00EA5C29"/>
    <w:rsid w:val="00EB0B90"/>
    <w:rsid w:val="00EB49F0"/>
    <w:rsid w:val="00EB5F76"/>
    <w:rsid w:val="00EB6FE1"/>
    <w:rsid w:val="00EC38EE"/>
    <w:rsid w:val="00EC5658"/>
    <w:rsid w:val="00EC702E"/>
    <w:rsid w:val="00EC7DA2"/>
    <w:rsid w:val="00ED6307"/>
    <w:rsid w:val="00ED78D3"/>
    <w:rsid w:val="00EE023B"/>
    <w:rsid w:val="00EE0A0D"/>
    <w:rsid w:val="00EE6097"/>
    <w:rsid w:val="00EE6846"/>
    <w:rsid w:val="00EF20E8"/>
    <w:rsid w:val="00EF273C"/>
    <w:rsid w:val="00EF2D56"/>
    <w:rsid w:val="00EF507D"/>
    <w:rsid w:val="00F03542"/>
    <w:rsid w:val="00F11BC9"/>
    <w:rsid w:val="00F13928"/>
    <w:rsid w:val="00F16F90"/>
    <w:rsid w:val="00F230E5"/>
    <w:rsid w:val="00F23D34"/>
    <w:rsid w:val="00F26F64"/>
    <w:rsid w:val="00F30C3C"/>
    <w:rsid w:val="00F32D83"/>
    <w:rsid w:val="00F33BE5"/>
    <w:rsid w:val="00F40A1E"/>
    <w:rsid w:val="00F45646"/>
    <w:rsid w:val="00F51D49"/>
    <w:rsid w:val="00F51EFE"/>
    <w:rsid w:val="00F54ED2"/>
    <w:rsid w:val="00F6110B"/>
    <w:rsid w:val="00F61CE5"/>
    <w:rsid w:val="00F63FFC"/>
    <w:rsid w:val="00F66F25"/>
    <w:rsid w:val="00F672EA"/>
    <w:rsid w:val="00F67E91"/>
    <w:rsid w:val="00F71E48"/>
    <w:rsid w:val="00F7305C"/>
    <w:rsid w:val="00F74D50"/>
    <w:rsid w:val="00F762B3"/>
    <w:rsid w:val="00F8571E"/>
    <w:rsid w:val="00F94BB4"/>
    <w:rsid w:val="00F96534"/>
    <w:rsid w:val="00FA129C"/>
    <w:rsid w:val="00FA1CE2"/>
    <w:rsid w:val="00FA29B1"/>
    <w:rsid w:val="00FA51AB"/>
    <w:rsid w:val="00FA66D1"/>
    <w:rsid w:val="00FB5452"/>
    <w:rsid w:val="00FC78DF"/>
    <w:rsid w:val="00FE481E"/>
    <w:rsid w:val="00FF2860"/>
    <w:rsid w:val="00FF6718"/>
    <w:rsid w:val="00FF68BD"/>
    <w:rsid w:val="01198AB6"/>
    <w:rsid w:val="018258EA"/>
    <w:rsid w:val="01AD5990"/>
    <w:rsid w:val="01D186B4"/>
    <w:rsid w:val="0292679F"/>
    <w:rsid w:val="02A84CD0"/>
    <w:rsid w:val="03224D44"/>
    <w:rsid w:val="034761CB"/>
    <w:rsid w:val="04EE008E"/>
    <w:rsid w:val="05555594"/>
    <w:rsid w:val="071918CB"/>
    <w:rsid w:val="0798A3BF"/>
    <w:rsid w:val="07AFD865"/>
    <w:rsid w:val="07F766BA"/>
    <w:rsid w:val="0864B30C"/>
    <w:rsid w:val="08B85120"/>
    <w:rsid w:val="09B9F593"/>
    <w:rsid w:val="0B4580C9"/>
    <w:rsid w:val="0BFF8159"/>
    <w:rsid w:val="0CC0EF01"/>
    <w:rsid w:val="0D3E4215"/>
    <w:rsid w:val="0E80A87C"/>
    <w:rsid w:val="0EA987B4"/>
    <w:rsid w:val="0EC9EEBB"/>
    <w:rsid w:val="0F1C9543"/>
    <w:rsid w:val="0F7F2D91"/>
    <w:rsid w:val="0FA064AC"/>
    <w:rsid w:val="0FA4B6FC"/>
    <w:rsid w:val="101354CF"/>
    <w:rsid w:val="107B1B7A"/>
    <w:rsid w:val="10D258C7"/>
    <w:rsid w:val="10E0EBE1"/>
    <w:rsid w:val="10EF4921"/>
    <w:rsid w:val="11BCE6CC"/>
    <w:rsid w:val="1470DF5E"/>
    <w:rsid w:val="1537E688"/>
    <w:rsid w:val="1548D692"/>
    <w:rsid w:val="15E57669"/>
    <w:rsid w:val="16E8351E"/>
    <w:rsid w:val="17C0E155"/>
    <w:rsid w:val="1937D636"/>
    <w:rsid w:val="197152BF"/>
    <w:rsid w:val="19D50D7E"/>
    <w:rsid w:val="1A7447D8"/>
    <w:rsid w:val="1A95CF9D"/>
    <w:rsid w:val="1A9E5725"/>
    <w:rsid w:val="1B337F2C"/>
    <w:rsid w:val="1BA68815"/>
    <w:rsid w:val="1BBA3063"/>
    <w:rsid w:val="1BE6F183"/>
    <w:rsid w:val="1BF5E7D3"/>
    <w:rsid w:val="1C3DFB81"/>
    <w:rsid w:val="1DB76071"/>
    <w:rsid w:val="1DC1B493"/>
    <w:rsid w:val="1DE5C0D1"/>
    <w:rsid w:val="1DFBA261"/>
    <w:rsid w:val="1F4B9602"/>
    <w:rsid w:val="1F7EDE0D"/>
    <w:rsid w:val="1FEA883D"/>
    <w:rsid w:val="2065E516"/>
    <w:rsid w:val="20AFAC50"/>
    <w:rsid w:val="226C338C"/>
    <w:rsid w:val="22A7BA12"/>
    <w:rsid w:val="22C90AAF"/>
    <w:rsid w:val="233A749C"/>
    <w:rsid w:val="233CEB02"/>
    <w:rsid w:val="234CF6C8"/>
    <w:rsid w:val="23885BD7"/>
    <w:rsid w:val="23ADD27A"/>
    <w:rsid w:val="24A80C67"/>
    <w:rsid w:val="25960D93"/>
    <w:rsid w:val="261E2D98"/>
    <w:rsid w:val="267E634C"/>
    <w:rsid w:val="269CD359"/>
    <w:rsid w:val="269DC9B0"/>
    <w:rsid w:val="27419C1C"/>
    <w:rsid w:val="27D7849B"/>
    <w:rsid w:val="29ABC4B6"/>
    <w:rsid w:val="2A2A1D1D"/>
    <w:rsid w:val="2A379CCD"/>
    <w:rsid w:val="2A402ADF"/>
    <w:rsid w:val="2A9707EC"/>
    <w:rsid w:val="2AA86130"/>
    <w:rsid w:val="2B021A39"/>
    <w:rsid w:val="2B02D506"/>
    <w:rsid w:val="2B870C42"/>
    <w:rsid w:val="2BC74D8F"/>
    <w:rsid w:val="2D604EF2"/>
    <w:rsid w:val="2EA920FC"/>
    <w:rsid w:val="2F0F31C0"/>
    <w:rsid w:val="2F103F7C"/>
    <w:rsid w:val="2F2221B8"/>
    <w:rsid w:val="2F4A8360"/>
    <w:rsid w:val="2FAF4ACF"/>
    <w:rsid w:val="2FBB038C"/>
    <w:rsid w:val="3079C101"/>
    <w:rsid w:val="31147094"/>
    <w:rsid w:val="312CF03F"/>
    <w:rsid w:val="320FFA51"/>
    <w:rsid w:val="3254D57E"/>
    <w:rsid w:val="330049E0"/>
    <w:rsid w:val="334BB3F2"/>
    <w:rsid w:val="33C5CC94"/>
    <w:rsid w:val="34FD72AF"/>
    <w:rsid w:val="37DA96C7"/>
    <w:rsid w:val="37E540F8"/>
    <w:rsid w:val="37F41899"/>
    <w:rsid w:val="37FDD7F8"/>
    <w:rsid w:val="397E6947"/>
    <w:rsid w:val="39F96229"/>
    <w:rsid w:val="3AF8DE86"/>
    <w:rsid w:val="3B2AC8A8"/>
    <w:rsid w:val="3B646FF1"/>
    <w:rsid w:val="3C02A323"/>
    <w:rsid w:val="3C371EC7"/>
    <w:rsid w:val="3CAE002B"/>
    <w:rsid w:val="3D8E1C84"/>
    <w:rsid w:val="3DE14844"/>
    <w:rsid w:val="3E1C0DE1"/>
    <w:rsid w:val="3E9FBCE3"/>
    <w:rsid w:val="3F012BB7"/>
    <w:rsid w:val="3F02AA5C"/>
    <w:rsid w:val="3F32FD81"/>
    <w:rsid w:val="3F4AC0E8"/>
    <w:rsid w:val="3F5083B4"/>
    <w:rsid w:val="40879B89"/>
    <w:rsid w:val="40A1AB95"/>
    <w:rsid w:val="412107CC"/>
    <w:rsid w:val="43A37CB5"/>
    <w:rsid w:val="43C539D8"/>
    <w:rsid w:val="443DC9A0"/>
    <w:rsid w:val="4441C5B1"/>
    <w:rsid w:val="4460AA93"/>
    <w:rsid w:val="44988FDF"/>
    <w:rsid w:val="4564B838"/>
    <w:rsid w:val="45C4014D"/>
    <w:rsid w:val="46534EF9"/>
    <w:rsid w:val="46728CE7"/>
    <w:rsid w:val="468AF36A"/>
    <w:rsid w:val="46C1578F"/>
    <w:rsid w:val="46DF74C0"/>
    <w:rsid w:val="474B6CDB"/>
    <w:rsid w:val="475B318E"/>
    <w:rsid w:val="47793606"/>
    <w:rsid w:val="48008DFD"/>
    <w:rsid w:val="481B589B"/>
    <w:rsid w:val="48694C03"/>
    <w:rsid w:val="48802513"/>
    <w:rsid w:val="49512FE0"/>
    <w:rsid w:val="4970752C"/>
    <w:rsid w:val="49C21DAF"/>
    <w:rsid w:val="49D3CF43"/>
    <w:rsid w:val="4C15095A"/>
    <w:rsid w:val="4C38AF5C"/>
    <w:rsid w:val="4C8FBE7F"/>
    <w:rsid w:val="4CA14A2E"/>
    <w:rsid w:val="4D087E23"/>
    <w:rsid w:val="4D0DCA15"/>
    <w:rsid w:val="4D2A6164"/>
    <w:rsid w:val="4D53C945"/>
    <w:rsid w:val="4DB7B0FE"/>
    <w:rsid w:val="4E0D315D"/>
    <w:rsid w:val="4F3AE1B7"/>
    <w:rsid w:val="4F9C446E"/>
    <w:rsid w:val="504F6A48"/>
    <w:rsid w:val="506F3831"/>
    <w:rsid w:val="50D08465"/>
    <w:rsid w:val="516C52FF"/>
    <w:rsid w:val="51EC5B20"/>
    <w:rsid w:val="52FA41A8"/>
    <w:rsid w:val="52FFA692"/>
    <w:rsid w:val="53CA091B"/>
    <w:rsid w:val="53F09265"/>
    <w:rsid w:val="55671C55"/>
    <w:rsid w:val="55898B93"/>
    <w:rsid w:val="559DB7A7"/>
    <w:rsid w:val="55ED6E48"/>
    <w:rsid w:val="55F435F8"/>
    <w:rsid w:val="5611B2C8"/>
    <w:rsid w:val="572409AD"/>
    <w:rsid w:val="586233AC"/>
    <w:rsid w:val="58CB84F6"/>
    <w:rsid w:val="59E42288"/>
    <w:rsid w:val="5B02AA3E"/>
    <w:rsid w:val="5B267246"/>
    <w:rsid w:val="5BB706BA"/>
    <w:rsid w:val="5C36C3EB"/>
    <w:rsid w:val="5C4AF904"/>
    <w:rsid w:val="5CB9EF4A"/>
    <w:rsid w:val="5D07E094"/>
    <w:rsid w:val="5D7A1DBF"/>
    <w:rsid w:val="5E46071D"/>
    <w:rsid w:val="5EDA2AB8"/>
    <w:rsid w:val="5F452CA1"/>
    <w:rsid w:val="5F690A4B"/>
    <w:rsid w:val="5FA7191C"/>
    <w:rsid w:val="60C18A8B"/>
    <w:rsid w:val="60EFF8A9"/>
    <w:rsid w:val="60FE3B52"/>
    <w:rsid w:val="6141FA39"/>
    <w:rsid w:val="625FAF7B"/>
    <w:rsid w:val="62C8FA38"/>
    <w:rsid w:val="643D273F"/>
    <w:rsid w:val="64858ED2"/>
    <w:rsid w:val="6675DF53"/>
    <w:rsid w:val="66EF4C65"/>
    <w:rsid w:val="6723ADCE"/>
    <w:rsid w:val="677E8032"/>
    <w:rsid w:val="6794A588"/>
    <w:rsid w:val="67C35F84"/>
    <w:rsid w:val="683B6009"/>
    <w:rsid w:val="68757452"/>
    <w:rsid w:val="68846463"/>
    <w:rsid w:val="68BD3C80"/>
    <w:rsid w:val="69879BA6"/>
    <w:rsid w:val="6A87E36B"/>
    <w:rsid w:val="6B9B2334"/>
    <w:rsid w:val="6C26F45A"/>
    <w:rsid w:val="6C2891A5"/>
    <w:rsid w:val="6C576DF8"/>
    <w:rsid w:val="6C963343"/>
    <w:rsid w:val="6CC2FA26"/>
    <w:rsid w:val="6D41C5D4"/>
    <w:rsid w:val="6D649004"/>
    <w:rsid w:val="6D6690E5"/>
    <w:rsid w:val="6DEBE14C"/>
    <w:rsid w:val="6E1E7B0C"/>
    <w:rsid w:val="6EC5144C"/>
    <w:rsid w:val="6EF53D0B"/>
    <w:rsid w:val="6F5D36ED"/>
    <w:rsid w:val="6FED60E6"/>
    <w:rsid w:val="70707A28"/>
    <w:rsid w:val="70A8D7F7"/>
    <w:rsid w:val="70B7C7C8"/>
    <w:rsid w:val="70C5F514"/>
    <w:rsid w:val="72333F3E"/>
    <w:rsid w:val="72DA3D1C"/>
    <w:rsid w:val="7397C58F"/>
    <w:rsid w:val="759AC835"/>
    <w:rsid w:val="75A86F95"/>
    <w:rsid w:val="762673D6"/>
    <w:rsid w:val="777E553B"/>
    <w:rsid w:val="77EEE629"/>
    <w:rsid w:val="77EF52AE"/>
    <w:rsid w:val="780E258A"/>
    <w:rsid w:val="7B0C457C"/>
    <w:rsid w:val="7B20695E"/>
    <w:rsid w:val="7B365EF2"/>
    <w:rsid w:val="7BDB2158"/>
    <w:rsid w:val="7C75AFA2"/>
    <w:rsid w:val="7CEB1C3D"/>
    <w:rsid w:val="7F0796F5"/>
    <w:rsid w:val="7F3D8390"/>
    <w:rsid w:val="7FBB699B"/>
    <w:rsid w:val="7FFDB3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A656D"/>
  <w15:chartTrackingRefBased/>
  <w15:docId w15:val="{FECD87E4-FF4F-40DF-B659-5D0CE8FD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BA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86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37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86A"/>
    <w:rPr>
      <w:rFonts w:ascii="Segoe UI" w:hAnsi="Segoe UI" w:cs="Segoe UI"/>
      <w:sz w:val="18"/>
      <w:szCs w:val="18"/>
    </w:rPr>
  </w:style>
  <w:style w:type="paragraph" w:styleId="ListParagraph">
    <w:name w:val="List Paragraph"/>
    <w:aliases w:val="List Paragraph2,No Spacing11,List Paragrap,Colorful List - Accent 12,Bullet Styl,Bullet,Bullet Style,L,Párrafo de lista,Recommendation,Recommendati,Recommendatio,List Paragraph3,List Paragra,Maire"/>
    <w:basedOn w:val="Normal"/>
    <w:link w:val="ListParagraphChar"/>
    <w:uiPriority w:val="34"/>
    <w:qFormat/>
    <w:rsid w:val="004F6F2F"/>
    <w:pPr>
      <w:ind w:left="720"/>
      <w:contextualSpacing/>
    </w:pPr>
  </w:style>
  <w:style w:type="paragraph" w:styleId="Subtitle">
    <w:name w:val="Subtitle"/>
    <w:basedOn w:val="Normal"/>
    <w:next w:val="Normal"/>
    <w:link w:val="SubtitleChar"/>
    <w:uiPriority w:val="11"/>
    <w:qFormat/>
    <w:rsid w:val="0014032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40327"/>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B27640"/>
    <w:rPr>
      <w:sz w:val="16"/>
      <w:szCs w:val="16"/>
    </w:rPr>
  </w:style>
  <w:style w:type="paragraph" w:styleId="CommentText">
    <w:name w:val="annotation text"/>
    <w:basedOn w:val="Normal"/>
    <w:link w:val="CommentTextChar"/>
    <w:uiPriority w:val="99"/>
    <w:unhideWhenUsed/>
    <w:rsid w:val="00B27640"/>
    <w:pPr>
      <w:spacing w:line="240" w:lineRule="auto"/>
    </w:pPr>
    <w:rPr>
      <w:sz w:val="20"/>
      <w:szCs w:val="20"/>
    </w:rPr>
  </w:style>
  <w:style w:type="character" w:customStyle="1" w:styleId="CommentTextChar">
    <w:name w:val="Comment Text Char"/>
    <w:basedOn w:val="DefaultParagraphFont"/>
    <w:link w:val="CommentText"/>
    <w:uiPriority w:val="99"/>
    <w:rsid w:val="00B27640"/>
    <w:rPr>
      <w:sz w:val="20"/>
      <w:szCs w:val="20"/>
    </w:rPr>
  </w:style>
  <w:style w:type="paragraph" w:styleId="CommentSubject">
    <w:name w:val="annotation subject"/>
    <w:basedOn w:val="CommentText"/>
    <w:next w:val="CommentText"/>
    <w:link w:val="CommentSubjectChar"/>
    <w:uiPriority w:val="99"/>
    <w:semiHidden/>
    <w:unhideWhenUsed/>
    <w:rsid w:val="00B27640"/>
    <w:rPr>
      <w:b/>
      <w:bCs/>
    </w:rPr>
  </w:style>
  <w:style w:type="character" w:customStyle="1" w:styleId="CommentSubjectChar">
    <w:name w:val="Comment Subject Char"/>
    <w:basedOn w:val="CommentTextChar"/>
    <w:link w:val="CommentSubject"/>
    <w:uiPriority w:val="99"/>
    <w:semiHidden/>
    <w:rsid w:val="00B27640"/>
    <w:rPr>
      <w:b/>
      <w:bCs/>
      <w:sz w:val="20"/>
      <w:szCs w:val="20"/>
    </w:rPr>
  </w:style>
  <w:style w:type="character" w:styleId="Mention">
    <w:name w:val="Mention"/>
    <w:basedOn w:val="DefaultParagraphFont"/>
    <w:uiPriority w:val="99"/>
    <w:unhideWhenUsed/>
    <w:rsid w:val="00B27640"/>
    <w:rPr>
      <w:color w:val="2B579A"/>
      <w:shd w:val="clear" w:color="auto" w:fill="E1DFDD"/>
    </w:rPr>
  </w:style>
  <w:style w:type="paragraph" w:styleId="Header">
    <w:name w:val="header"/>
    <w:basedOn w:val="Normal"/>
    <w:link w:val="HeaderChar"/>
    <w:uiPriority w:val="99"/>
    <w:unhideWhenUsed/>
    <w:rsid w:val="00D90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4AF"/>
  </w:style>
  <w:style w:type="paragraph" w:styleId="Footer">
    <w:name w:val="footer"/>
    <w:basedOn w:val="Normal"/>
    <w:link w:val="FooterChar"/>
    <w:uiPriority w:val="99"/>
    <w:unhideWhenUsed/>
    <w:rsid w:val="00D90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4A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aliases w:val="Heading10"/>
    <w:uiPriority w:val="1"/>
    <w:qFormat/>
    <w:pPr>
      <w:spacing w:after="0" w:line="240" w:lineRule="auto"/>
    </w:pPr>
  </w:style>
  <w:style w:type="table" w:styleId="ListTable4-Accent3">
    <w:name w:val="List Table 4 Accent 3"/>
    <w:basedOn w:val="TableNormal"/>
    <w:uiPriority w:val="49"/>
    <w:rsid w:val="0086377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3">
    <w:name w:val="List Table 3 Accent 3"/>
    <w:basedOn w:val="TableNormal"/>
    <w:uiPriority w:val="48"/>
    <w:rsid w:val="00064D3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ListParagraphChar">
    <w:name w:val="List Paragraph Char"/>
    <w:aliases w:val="List Paragraph2 Char,No Spacing11 Char,List Paragrap Char,Colorful List - Accent 12 Char,Bullet Styl Char,Bullet Char,Bullet Style Char,L Char,Párrafo de lista Char,Recommendation Char,Recommendati Char,Recommendatio Char,Maire Char"/>
    <w:link w:val="ListParagraph"/>
    <w:uiPriority w:val="34"/>
    <w:rsid w:val="00055707"/>
  </w:style>
  <w:style w:type="paragraph" w:customStyle="1" w:styleId="Heading10">
    <w:name w:val="Heading 10"/>
    <w:basedOn w:val="Normal"/>
    <w:link w:val="Heading10Char"/>
    <w:qFormat/>
    <w:rsid w:val="00055707"/>
    <w:pPr>
      <w:spacing w:before="1" w:after="0" w:line="240" w:lineRule="auto"/>
      <w:ind w:right="-32"/>
      <w:textAlignment w:val="baseline"/>
    </w:pPr>
    <w:rPr>
      <w:rFonts w:ascii="Calibri" w:eastAsia="Times New Roman" w:hAnsi="Calibri" w:cs="Arial"/>
      <w:b/>
      <w:color w:val="002060"/>
      <w:spacing w:val="-11"/>
      <w:w w:val="105"/>
      <w:sz w:val="28"/>
      <w:szCs w:val="28"/>
      <w:lang w:eastAsia="en-GB"/>
    </w:rPr>
  </w:style>
  <w:style w:type="character" w:customStyle="1" w:styleId="Heading10Char">
    <w:name w:val="Heading 10 Char"/>
    <w:link w:val="Heading10"/>
    <w:rsid w:val="00055707"/>
    <w:rPr>
      <w:rFonts w:ascii="Calibri" w:eastAsia="Times New Roman" w:hAnsi="Calibri" w:cs="Arial"/>
      <w:b/>
      <w:color w:val="002060"/>
      <w:spacing w:val="-11"/>
      <w:w w:val="105"/>
      <w:sz w:val="28"/>
      <w:szCs w:val="28"/>
      <w:lang w:eastAsia="en-GB"/>
    </w:rPr>
  </w:style>
  <w:style w:type="character" w:styleId="Hyperlink">
    <w:name w:val="Hyperlink"/>
    <w:basedOn w:val="DefaultParagraphFont"/>
    <w:uiPriority w:val="99"/>
    <w:unhideWhenUsed/>
    <w:rsid w:val="00192F4F"/>
    <w:rPr>
      <w:color w:val="0563C1" w:themeColor="hyperlink"/>
      <w:u w:val="single"/>
    </w:rPr>
  </w:style>
  <w:style w:type="character" w:customStyle="1" w:styleId="Heading1Char">
    <w:name w:val="Heading 1 Char"/>
    <w:basedOn w:val="DefaultParagraphFont"/>
    <w:link w:val="Heading1"/>
    <w:uiPriority w:val="9"/>
    <w:rsid w:val="005B5BA3"/>
    <w:rPr>
      <w:rFonts w:asciiTheme="majorHAnsi" w:eastAsiaTheme="majorEastAsia" w:hAnsiTheme="majorHAnsi" w:cstheme="majorBidi"/>
      <w:b/>
      <w:bCs/>
      <w:color w:val="2F5496" w:themeColor="accent1" w:themeShade="BF"/>
      <w:sz w:val="28"/>
      <w:szCs w:val="28"/>
    </w:rPr>
  </w:style>
  <w:style w:type="paragraph" w:styleId="Revision">
    <w:name w:val="Revision"/>
    <w:hidden/>
    <w:uiPriority w:val="99"/>
    <w:semiHidden/>
    <w:rsid w:val="005B5BA3"/>
    <w:pPr>
      <w:spacing w:after="0" w:line="240" w:lineRule="auto"/>
    </w:pPr>
  </w:style>
  <w:style w:type="character" w:styleId="UnresolvedMention">
    <w:name w:val="Unresolved Mention"/>
    <w:basedOn w:val="DefaultParagraphFont"/>
    <w:uiPriority w:val="99"/>
    <w:semiHidden/>
    <w:unhideWhenUsed/>
    <w:rsid w:val="009D3E15"/>
    <w:rPr>
      <w:color w:val="605E5C"/>
      <w:shd w:val="clear" w:color="auto" w:fill="E1DFDD"/>
    </w:rPr>
  </w:style>
  <w:style w:type="character" w:styleId="FollowedHyperlink">
    <w:name w:val="FollowedHyperlink"/>
    <w:basedOn w:val="DefaultParagraphFont"/>
    <w:uiPriority w:val="99"/>
    <w:semiHidden/>
    <w:unhideWhenUsed/>
    <w:rsid w:val="00BA77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k.eu-supply.com/ctm/Company/CompanyRegistration/RegisterCompany?OID=1&amp;B=UK" TargetMode="Externa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BA5CC09A-E876-41D1-B5BA-33F832C684B0}">
    <t:Anchor>
      <t:Comment id="1480965786"/>
    </t:Anchor>
    <t:History>
      <t:Event id="{5D62FE1A-5A7B-4D55-894F-DA53E741A12E}" time="2024-12-03T11:44:12.64Z">
        <t:Attribution userId="S::Josie.Murray@highspeed1.co.uk::dc5e1d21-efaa-4f62-8884-d24dc73e7809" userProvider="AD" userName="Josie Murray"/>
        <t:Anchor>
          <t:Comment id="502665848"/>
        </t:Anchor>
        <t:Create/>
      </t:Event>
      <t:Event id="{45D746AC-2C1F-48C3-85CD-37869C8C7579}" time="2024-12-03T11:44:12.64Z">
        <t:Attribution userId="S::Josie.Murray@highspeed1.co.uk::dc5e1d21-efaa-4f62-8884-d24dc73e7809" userProvider="AD" userName="Josie Murray"/>
        <t:Anchor>
          <t:Comment id="502665848"/>
        </t:Anchor>
        <t:Assign userId="S::Jay.Newton@highspeed1.co.uk::a718c62f-435e-4473-adb9-885c872a392f" userProvider="AD" userName="Jay Newton"/>
      </t:Event>
      <t:Event id="{178DF9F8-9DF1-4A07-A4BD-B519BAD4E906}" time="2024-12-03T11:44:12.64Z">
        <t:Attribution userId="S::Josie.Murray@highspeed1.co.uk::dc5e1d21-efaa-4f62-8884-d24dc73e7809" userProvider="AD" userName="Josie Murray"/>
        <t:Anchor>
          <t:Comment id="502665848"/>
        </t:Anchor>
        <t:SetTitle title="…were various building services design guides for the 2000s work but I am not sure how relevant they are now - one for @Jay Newton There are numerous documents which set out the materials used in the station - for historic material there will be th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8652a6-ea81-4ac1-9fc8-b285efb75bec">
      <Terms xmlns="http://schemas.microsoft.com/office/infopath/2007/PartnerControls"/>
    </lcf76f155ced4ddcb4097134ff3c332f>
    <TaxCatchAll xmlns="0ac92581-727e-4d8d-a82d-cb23d43cdadd" xsi:nil="true"/>
    <SharedWithUsers xmlns="d3f4c897-e1ab-4518-9208-7afbd24e914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FBA7DCCD1DDB458D0812802A164BA0" ma:contentTypeVersion="16" ma:contentTypeDescription="Create a new document." ma:contentTypeScope="" ma:versionID="ed6c6755e5af4f1aa834965fce8bf0ed">
  <xsd:schema xmlns:xsd="http://www.w3.org/2001/XMLSchema" xmlns:xs="http://www.w3.org/2001/XMLSchema" xmlns:p="http://schemas.microsoft.com/office/2006/metadata/properties" xmlns:ns2="b08652a6-ea81-4ac1-9fc8-b285efb75bec" xmlns:ns3="d3f4c897-e1ab-4518-9208-7afbd24e9143" xmlns:ns4="0ac92581-727e-4d8d-a82d-cb23d43cdadd" targetNamespace="http://schemas.microsoft.com/office/2006/metadata/properties" ma:root="true" ma:fieldsID="c494c8f71c7a0decd10063c9612a0c86" ns2:_="" ns3:_="" ns4:_="">
    <xsd:import namespace="b08652a6-ea81-4ac1-9fc8-b285efb75bec"/>
    <xsd:import namespace="d3f4c897-e1ab-4518-9208-7afbd24e9143"/>
    <xsd:import namespace="0ac92581-727e-4d8d-a82d-cb23d43cda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652a6-ea81-4ac1-9fc8-b285efb75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cb43afa-de2b-40ad-893b-ae7619471b4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f4c897-e1ab-4518-9208-7afbd24e91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92581-727e-4d8d-a82d-cb23d43cdad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ba1f855-9d86-4388-83d6-881a793d9dfb}" ma:internalName="TaxCatchAll" ma:showField="CatchAllData" ma:web="d3f4c897-e1ab-4518-9208-7afbd24e91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05D55-35C5-4853-B61F-BBFFE0923843}">
  <ds:schemaRefs>
    <ds:schemaRef ds:uri="http://schemas.microsoft.com/office/2006/metadata/properties"/>
    <ds:schemaRef ds:uri="http://schemas.microsoft.com/office/infopath/2007/PartnerControls"/>
    <ds:schemaRef ds:uri="b08652a6-ea81-4ac1-9fc8-b285efb75bec"/>
    <ds:schemaRef ds:uri="0ac92581-727e-4d8d-a82d-cb23d43cdadd"/>
    <ds:schemaRef ds:uri="d3f4c897-e1ab-4518-9208-7afbd24e9143"/>
  </ds:schemaRefs>
</ds:datastoreItem>
</file>

<file path=customXml/itemProps2.xml><?xml version="1.0" encoding="utf-8"?>
<ds:datastoreItem xmlns:ds="http://schemas.openxmlformats.org/officeDocument/2006/customXml" ds:itemID="{698DE31F-3DF5-439C-A00E-5D8FDEAF2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652a6-ea81-4ac1-9fc8-b285efb75bec"/>
    <ds:schemaRef ds:uri="d3f4c897-e1ab-4518-9208-7afbd24e9143"/>
    <ds:schemaRef ds:uri="0ac92581-727e-4d8d-a82d-cb23d43cd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6DFDD9-765A-4536-82D8-21CC1DCD5A0F}">
  <ds:schemaRefs>
    <ds:schemaRef ds:uri="http://schemas.microsoft.com/sharepoint/v3/contenttype/forms"/>
  </ds:schemaRefs>
</ds:datastoreItem>
</file>

<file path=customXml/itemProps4.xml><?xml version="1.0" encoding="utf-8"?>
<ds:datastoreItem xmlns:ds="http://schemas.openxmlformats.org/officeDocument/2006/customXml" ds:itemID="{151B1F9E-8BE8-4EC3-A3A6-EAD343B22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Links>
    <vt:vector size="6" baseType="variant">
      <vt:variant>
        <vt:i4>6815792</vt:i4>
      </vt:variant>
      <vt:variant>
        <vt:i4>0</vt:i4>
      </vt:variant>
      <vt:variant>
        <vt:i4>0</vt:i4>
      </vt:variant>
      <vt:variant>
        <vt:i4>5</vt:i4>
      </vt:variant>
      <vt:variant>
        <vt:lpwstr>https://uk.eu-supply.com/ctm/Company/CompanyRegistration/RegisterCompany?OID=1&amp;B=UK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 Statement of Requirement</dc:title>
  <dc:subject/>
  <dc:creator>Julie Jackson</dc:creator>
  <cp:keywords/>
  <dc:description/>
  <cp:lastModifiedBy>Mark Rice</cp:lastModifiedBy>
  <cp:revision>2</cp:revision>
  <dcterms:created xsi:type="dcterms:W3CDTF">2024-12-18T15:46:00Z</dcterms:created>
  <dcterms:modified xsi:type="dcterms:W3CDTF">2024-12-18T15:46:00Z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0x0101006FFBA7DCCD1DDB458D0812802A164BA0</vt:lpwstr>
  </property>
  <property fmtid="{D5CDD505-2E9C-101B-9397-08002B2CF9AE}" pid="3" name="_dlc_DocIdItemGuid">
    <vt:lpwstr>daa8e48f-bff8-4032-a899-a6ae98a3f05d</vt:lpwstr>
  </property>
  <property fmtid="{D5CDD505-2E9C-101B-9397-08002B2CF9AE}" pid="4" name="TaxKeyword">
    <vt:lpwstr/>
  </property>
  <property fmtid="{D5CDD505-2E9C-101B-9397-08002B2CF9AE}" pid="5" name="Order">
    <vt:r8>95400</vt:r8>
  </property>
  <property fmtid="{D5CDD505-2E9C-101B-9397-08002B2CF9AE}" pid="6" name="HS1LegalAgreementType">
    <vt:lpwstr/>
  </property>
  <property fmtid="{D5CDD505-2E9C-101B-9397-08002B2CF9AE}" pid="7" name="HS1Supplier">
    <vt:lpwstr/>
  </property>
  <property fmtid="{D5CDD505-2E9C-101B-9397-08002B2CF9AE}" pid="8" name="HS1GeneralDocumentType">
    <vt:lpwstr>113;#Procurement|a8a6a3b0-f078-4730-b6a1-96b85b590fff</vt:lpwstr>
  </property>
  <property fmtid="{D5CDD505-2E9C-101B-9397-08002B2CF9AE}" pid="9" name="HS1Customer">
    <vt:lpwstr/>
  </property>
  <property fmtid="{D5CDD505-2E9C-101B-9397-08002B2CF9AE}" pid="10" name="HS1WorkstreamID">
    <vt:lpwstr/>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